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B40FD" w14:textId="6F21ACFA" w:rsidR="00C73045" w:rsidRPr="00734E1D" w:rsidRDefault="00C73045" w:rsidP="00734E1D">
      <w:pPr>
        <w:pStyle w:val="RedTitre"/>
        <w:framePr w:w="10042" w:wrap="auto" w:hAnchor="page" w:x="767" w:y="-146"/>
        <w:widowControl/>
        <w:jc w:val="both"/>
        <w:rPr>
          <w:rFonts w:asciiTheme="minorHAnsi" w:hAnsiTheme="minorHAnsi" w:cstheme="minorHAnsi"/>
          <w:b w:val="0"/>
          <w:bCs w:val="0"/>
        </w:rPr>
      </w:pPr>
    </w:p>
    <w:p w14:paraId="301B79B0" w14:textId="79F5D2CD" w:rsidR="00DA74EF" w:rsidRPr="00734E1D" w:rsidRDefault="005C4626" w:rsidP="00734E1D">
      <w:pPr>
        <w:jc w:val="both"/>
        <w:rPr>
          <w:rFonts w:cstheme="minorHAnsi"/>
          <w:b/>
          <w:color w:val="70AD47" w:themeColor="accent6"/>
          <w:u w:val="single"/>
        </w:rPr>
      </w:pPr>
      <w:r w:rsidRPr="00E339E8">
        <w:rPr>
          <w:noProof/>
        </w:rPr>
        <w:drawing>
          <wp:anchor distT="0" distB="0" distL="114300" distR="114300" simplePos="0" relativeHeight="251681792" behindDoc="0" locked="0" layoutInCell="1" allowOverlap="1" wp14:anchorId="21481262" wp14:editId="66A4F689">
            <wp:simplePos x="0" y="0"/>
            <wp:positionH relativeFrom="margin">
              <wp:align>center</wp:align>
            </wp:positionH>
            <wp:positionV relativeFrom="paragraph">
              <wp:posOffset>-120650</wp:posOffset>
            </wp:positionV>
            <wp:extent cx="6819900" cy="75120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19900" cy="751205"/>
                    </a:xfrm>
                    <a:prstGeom prst="rect">
                      <a:avLst/>
                    </a:prstGeom>
                    <a:noFill/>
                    <a:ln>
                      <a:noFill/>
                    </a:ln>
                  </pic:spPr>
                </pic:pic>
              </a:graphicData>
            </a:graphic>
            <wp14:sizeRelH relativeFrom="margin">
              <wp14:pctWidth>0</wp14:pctWidth>
            </wp14:sizeRelH>
          </wp:anchor>
        </w:drawing>
      </w:r>
    </w:p>
    <w:p w14:paraId="29181228" w14:textId="77777777" w:rsidR="00FA3EC5" w:rsidRPr="00734E1D" w:rsidRDefault="00FA3EC5" w:rsidP="00734E1D">
      <w:pPr>
        <w:jc w:val="both"/>
        <w:rPr>
          <w:rFonts w:cstheme="minorHAnsi"/>
          <w:b/>
          <w:color w:val="70AD47" w:themeColor="accent6"/>
          <w:u w:val="single"/>
        </w:rPr>
      </w:pPr>
    </w:p>
    <w:p w14:paraId="1B7D4B5F" w14:textId="77777777" w:rsidR="00FA3EC5" w:rsidRPr="00734E1D" w:rsidRDefault="00FA3EC5" w:rsidP="00734E1D">
      <w:pPr>
        <w:jc w:val="both"/>
        <w:rPr>
          <w:rFonts w:cstheme="minorHAnsi"/>
          <w:b/>
          <w:color w:val="70AD47" w:themeColor="accent6"/>
          <w:u w:val="single"/>
        </w:rPr>
      </w:pPr>
    </w:p>
    <w:p w14:paraId="30C12FE3" w14:textId="2202894B" w:rsidR="00DD0118" w:rsidRPr="00734E1D" w:rsidRDefault="00DD0118" w:rsidP="00734E1D">
      <w:pPr>
        <w:jc w:val="center"/>
        <w:rPr>
          <w:rFonts w:cstheme="minorHAnsi"/>
          <w:b/>
          <w:color w:val="70AD47" w:themeColor="accent6"/>
          <w:sz w:val="44"/>
          <w:u w:val="single"/>
        </w:rPr>
      </w:pPr>
      <w:r w:rsidRPr="00734E1D">
        <w:rPr>
          <w:rFonts w:cstheme="minorHAnsi"/>
          <w:b/>
          <w:color w:val="70AD47" w:themeColor="accent6"/>
          <w:sz w:val="44"/>
          <w:u w:val="single"/>
        </w:rPr>
        <w:t xml:space="preserve">ANNEXE </w:t>
      </w:r>
      <w:r w:rsidR="00734E1D" w:rsidRPr="00734E1D">
        <w:rPr>
          <w:rFonts w:cstheme="minorHAnsi"/>
          <w:b/>
          <w:color w:val="70AD47" w:themeColor="accent6"/>
          <w:sz w:val="44"/>
          <w:u w:val="single"/>
        </w:rPr>
        <w:t>1</w:t>
      </w:r>
      <w:r w:rsidRPr="00734E1D">
        <w:rPr>
          <w:rFonts w:cstheme="minorHAnsi"/>
          <w:b/>
          <w:color w:val="70AD47" w:themeColor="accent6"/>
          <w:sz w:val="44"/>
          <w:u w:val="single"/>
        </w:rPr>
        <w:t xml:space="preserve"> AU CCAP</w:t>
      </w:r>
    </w:p>
    <w:p w14:paraId="7E56F007" w14:textId="77777777" w:rsidR="00DD0118" w:rsidRPr="00734E1D" w:rsidRDefault="00DD0118" w:rsidP="00734E1D">
      <w:pPr>
        <w:jc w:val="center"/>
        <w:rPr>
          <w:rFonts w:cstheme="minorHAnsi"/>
          <w:b/>
          <w:color w:val="70AD47" w:themeColor="accent6"/>
          <w:sz w:val="44"/>
          <w:u w:val="single"/>
        </w:rPr>
      </w:pPr>
    </w:p>
    <w:p w14:paraId="7CE4D204" w14:textId="5659C66E" w:rsidR="007246F1" w:rsidRPr="00734E1D" w:rsidRDefault="004F7EF6" w:rsidP="00734E1D">
      <w:pPr>
        <w:jc w:val="center"/>
        <w:rPr>
          <w:rFonts w:cstheme="minorHAnsi"/>
          <w:b/>
          <w:color w:val="70AD47" w:themeColor="accent6"/>
          <w:sz w:val="44"/>
          <w:u w:val="single"/>
        </w:rPr>
      </w:pPr>
      <w:r w:rsidRPr="00734E1D">
        <w:rPr>
          <w:rFonts w:cstheme="minorHAnsi"/>
          <w:b/>
          <w:color w:val="70AD47" w:themeColor="accent6"/>
          <w:sz w:val="44"/>
          <w:u w:val="single"/>
        </w:rPr>
        <w:t>DEVELOPPEMENT DURABLE</w:t>
      </w:r>
    </w:p>
    <w:p w14:paraId="7159D411" w14:textId="7D7214B4" w:rsidR="00AE4C91" w:rsidRPr="00734E1D" w:rsidRDefault="00E10A21" w:rsidP="00734E1D">
      <w:pPr>
        <w:jc w:val="center"/>
        <w:rPr>
          <w:rFonts w:cstheme="minorHAnsi"/>
          <w:b/>
          <w:color w:val="70AD47" w:themeColor="accent6"/>
          <w:sz w:val="44"/>
        </w:rPr>
      </w:pPr>
      <w:r w:rsidRPr="00734E1D">
        <w:rPr>
          <w:rFonts w:cstheme="minorHAnsi"/>
          <w:b/>
          <w:noProof/>
          <w:color w:val="70AD47" w:themeColor="accent6"/>
          <w:sz w:val="44"/>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2">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734E1D" w:rsidRDefault="00160D8C" w:rsidP="00734E1D">
      <w:pPr>
        <w:jc w:val="both"/>
        <w:rPr>
          <w:rFonts w:cstheme="minorHAnsi"/>
          <w:b/>
          <w:color w:val="70AD47" w:themeColor="accent6"/>
        </w:rPr>
      </w:pPr>
    </w:p>
    <w:p w14:paraId="6BC9E291" w14:textId="77777777" w:rsidR="00160D8C" w:rsidRPr="00734E1D" w:rsidRDefault="00160D8C" w:rsidP="00734E1D">
      <w:pPr>
        <w:jc w:val="both"/>
        <w:rPr>
          <w:rFonts w:cstheme="minorHAnsi"/>
          <w:b/>
          <w:color w:val="70AD47" w:themeColor="accent6"/>
        </w:rPr>
      </w:pPr>
    </w:p>
    <w:p w14:paraId="3B05BDCD" w14:textId="77777777" w:rsidR="00160D8C" w:rsidRPr="00734E1D" w:rsidRDefault="00160D8C" w:rsidP="00734E1D">
      <w:pPr>
        <w:jc w:val="both"/>
        <w:rPr>
          <w:rFonts w:cstheme="minorHAnsi"/>
          <w:b/>
          <w:color w:val="70AD47" w:themeColor="accent6"/>
        </w:rPr>
      </w:pPr>
    </w:p>
    <w:p w14:paraId="01E9AF1C" w14:textId="0135D6C8" w:rsidR="00A90B99" w:rsidRPr="00734E1D" w:rsidRDefault="007429D3" w:rsidP="00734E1D">
      <w:pPr>
        <w:jc w:val="both"/>
        <w:rPr>
          <w:rFonts w:eastAsia="Times New Roman" w:cstheme="minorHAnsi"/>
          <w:bCs/>
          <w:i/>
          <w:color w:val="70AD47" w:themeColor="accent6"/>
          <w:lang w:eastAsia="fr-FR"/>
        </w:rPr>
      </w:pPr>
      <w:r w:rsidRPr="00734E1D">
        <w:rPr>
          <w:rFonts w:cstheme="minorHAnsi"/>
          <w:b/>
          <w:i/>
          <w:color w:val="70AD47" w:themeColor="accent6"/>
        </w:rPr>
        <w:t>Le C</w:t>
      </w:r>
      <w:r w:rsidR="00247F06" w:rsidRPr="00734E1D">
        <w:rPr>
          <w:rFonts w:cstheme="minorHAnsi"/>
          <w:b/>
          <w:i/>
          <w:color w:val="70AD47" w:themeColor="accent6"/>
        </w:rPr>
        <w:t>HU</w:t>
      </w:r>
      <w:r w:rsidRPr="00734E1D">
        <w:rPr>
          <w:rFonts w:cstheme="minorHAnsi"/>
          <w:b/>
          <w:i/>
          <w:color w:val="70AD47" w:themeColor="accent6"/>
        </w:rPr>
        <w:t xml:space="preserve"> de Montpellier, établissement support du GHT EHSA, </w:t>
      </w:r>
      <w:r w:rsidR="00A90B99" w:rsidRPr="00734E1D">
        <w:rPr>
          <w:rFonts w:eastAsia="Times New Roman" w:cstheme="minorHAnsi"/>
          <w:bCs/>
          <w:i/>
          <w:color w:val="70AD47" w:themeColor="accent6"/>
          <w:lang w:eastAsia="fr-FR"/>
        </w:rPr>
        <w:t xml:space="preserve">est soucieux de mettre en place une </w:t>
      </w:r>
      <w:r w:rsidR="00A90B99" w:rsidRPr="00734E1D">
        <w:rPr>
          <w:rFonts w:eastAsia="Times New Roman" w:cstheme="minorHAnsi"/>
          <w:b/>
          <w:bCs/>
          <w:i/>
          <w:color w:val="70AD47" w:themeColor="accent6"/>
          <w:lang w:eastAsia="fr-FR"/>
        </w:rPr>
        <w:t>politique d’achats durables</w:t>
      </w:r>
      <w:r w:rsidR="00A90B99" w:rsidRPr="00734E1D">
        <w:rPr>
          <w:rFonts w:eastAsia="Times New Roman" w:cstheme="minorHAnsi"/>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516404B0" w:rsidR="007429D3" w:rsidRPr="00734E1D" w:rsidRDefault="007429D3" w:rsidP="00734E1D">
      <w:pPr>
        <w:jc w:val="both"/>
        <w:rPr>
          <w:rFonts w:cstheme="minorHAnsi"/>
          <w:b/>
          <w:i/>
          <w:color w:val="70AD47" w:themeColor="accent6"/>
        </w:rPr>
      </w:pPr>
      <w:r w:rsidRPr="00734E1D">
        <w:rPr>
          <w:rFonts w:cstheme="minorHAnsi"/>
          <w:b/>
          <w:i/>
          <w:color w:val="70AD47" w:themeColor="accent6"/>
        </w:rPr>
        <w:t>Cette annexe à destination des fournisseurs</w:t>
      </w:r>
      <w:r w:rsidR="00D47384">
        <w:rPr>
          <w:rFonts w:cstheme="minorHAnsi"/>
          <w:b/>
          <w:i/>
          <w:color w:val="70AD47" w:themeColor="accent6"/>
        </w:rPr>
        <w:t>,</w:t>
      </w:r>
      <w:r w:rsidRPr="00734E1D">
        <w:rPr>
          <w:rFonts w:cstheme="minorHAnsi"/>
          <w:b/>
          <w:i/>
          <w:color w:val="70AD47" w:themeColor="accent6"/>
        </w:rPr>
        <w:t xml:space="preserve"> précise les </w:t>
      </w:r>
      <w:r w:rsidR="00CF6929" w:rsidRPr="00734E1D">
        <w:rPr>
          <w:rFonts w:cstheme="minorHAnsi"/>
          <w:b/>
          <w:i/>
          <w:color w:val="70AD47" w:themeColor="accent6"/>
        </w:rPr>
        <w:t xml:space="preserve">mesures </w:t>
      </w:r>
      <w:r w:rsidR="00D47384" w:rsidRPr="00734E1D">
        <w:rPr>
          <w:rFonts w:cstheme="minorHAnsi"/>
          <w:b/>
          <w:i/>
          <w:color w:val="70AD47" w:themeColor="accent6"/>
        </w:rPr>
        <w:t xml:space="preserve">attendues </w:t>
      </w:r>
      <w:r w:rsidR="00CF6929" w:rsidRPr="00734E1D">
        <w:rPr>
          <w:rFonts w:cstheme="minorHAnsi"/>
          <w:b/>
          <w:i/>
          <w:color w:val="70AD47" w:themeColor="accent6"/>
        </w:rPr>
        <w:t>en faveur du développement durable</w:t>
      </w:r>
      <w:r w:rsidR="00D47384">
        <w:rPr>
          <w:rFonts w:cstheme="minorHAnsi"/>
          <w:b/>
          <w:i/>
          <w:color w:val="70AD47" w:themeColor="accent6"/>
        </w:rPr>
        <w:t>,</w:t>
      </w:r>
      <w:r w:rsidR="00CF6929" w:rsidRPr="00734E1D">
        <w:rPr>
          <w:rFonts w:cstheme="minorHAnsi"/>
          <w:b/>
          <w:i/>
          <w:color w:val="70AD47" w:themeColor="accent6"/>
        </w:rPr>
        <w:t xml:space="preserve"> au titre du marché</w:t>
      </w:r>
      <w:r w:rsidR="00D47384">
        <w:rPr>
          <w:rFonts w:cstheme="minorHAnsi"/>
          <w:b/>
          <w:i/>
          <w:color w:val="70AD47" w:themeColor="accent6"/>
        </w:rPr>
        <w:t>.</w:t>
      </w:r>
      <w:r w:rsidR="00CF6929" w:rsidRPr="00734E1D">
        <w:rPr>
          <w:rFonts w:cstheme="minorHAnsi"/>
          <w:b/>
          <w:i/>
          <w:color w:val="70AD47" w:themeColor="accent6"/>
        </w:rPr>
        <w:t xml:space="preserve"> </w:t>
      </w:r>
    </w:p>
    <w:p w14:paraId="63CB3962" w14:textId="0C6535EA" w:rsidR="00A90B99" w:rsidRPr="00734E1D" w:rsidRDefault="00A90B99" w:rsidP="00734E1D">
      <w:pPr>
        <w:jc w:val="both"/>
        <w:rPr>
          <w:rFonts w:cstheme="minorHAnsi"/>
          <w:b/>
          <w:i/>
          <w:color w:val="70AD47" w:themeColor="accent6"/>
        </w:rPr>
      </w:pPr>
      <w:r w:rsidRPr="00734E1D">
        <w:rPr>
          <w:rFonts w:cstheme="minorHAnsi"/>
          <w:b/>
          <w:i/>
          <w:color w:val="70AD47" w:themeColor="accent6"/>
        </w:rPr>
        <w:br w:type="page"/>
      </w:r>
    </w:p>
    <w:p w14:paraId="36A10659" w14:textId="77777777" w:rsidR="00734E1D" w:rsidRDefault="00734E1D" w:rsidP="00734E1D">
      <w:pPr>
        <w:jc w:val="both"/>
        <w:rPr>
          <w:rFonts w:eastAsia="Times New Roman" w:cstheme="minorHAnsi"/>
          <w:bCs/>
          <w:i/>
          <w:lang w:eastAsia="fr-FR"/>
        </w:rPr>
      </w:pPr>
    </w:p>
    <w:p w14:paraId="3D187D3C" w14:textId="0122FF19" w:rsidR="00B15FD1" w:rsidRPr="00734E1D" w:rsidRDefault="0050406E" w:rsidP="001D1415">
      <w:pPr>
        <w:jc w:val="center"/>
        <w:rPr>
          <w:rFonts w:eastAsia="Times New Roman" w:cstheme="minorHAnsi"/>
          <w:b/>
          <w:bCs/>
          <w:sz w:val="28"/>
          <w:u w:val="single"/>
          <w:lang w:eastAsia="fr-FR"/>
        </w:rPr>
      </w:pPr>
      <w:r w:rsidRPr="00734E1D">
        <w:rPr>
          <w:rFonts w:eastAsia="Times New Roman" w:cstheme="minorHAnsi"/>
          <w:b/>
          <w:bCs/>
          <w:sz w:val="28"/>
          <w:u w:val="single"/>
          <w:lang w:eastAsia="fr-FR"/>
        </w:rPr>
        <w:t>Cette annexe comporte</w:t>
      </w:r>
      <w:r w:rsidR="00B15FD1" w:rsidRPr="00734E1D">
        <w:rPr>
          <w:rFonts w:eastAsia="Times New Roman" w:cstheme="minorHAnsi"/>
          <w:b/>
          <w:bCs/>
          <w:sz w:val="28"/>
          <w:u w:val="single"/>
          <w:lang w:eastAsia="fr-FR"/>
        </w:rPr>
        <w:t> :</w:t>
      </w:r>
    </w:p>
    <w:p w14:paraId="5E063E34" w14:textId="77777777" w:rsidR="005C0CD2" w:rsidRPr="00734E1D" w:rsidRDefault="005C0CD2" w:rsidP="00734E1D">
      <w:pPr>
        <w:jc w:val="both"/>
        <w:rPr>
          <w:rFonts w:eastAsia="Times New Roman" w:cstheme="minorHAnsi"/>
          <w:bCs/>
          <w:i/>
          <w:lang w:eastAsia="fr-FR"/>
        </w:rPr>
      </w:pPr>
    </w:p>
    <w:tbl>
      <w:tblPr>
        <w:tblStyle w:val="Grilledutableau"/>
        <w:tblW w:w="11199" w:type="dxa"/>
        <w:tblInd w:w="-998" w:type="dxa"/>
        <w:tblLook w:val="04A0" w:firstRow="1" w:lastRow="0" w:firstColumn="1" w:lastColumn="0" w:noHBand="0" w:noVBand="1"/>
      </w:tblPr>
      <w:tblGrid>
        <w:gridCol w:w="5813"/>
        <w:gridCol w:w="5386"/>
      </w:tblGrid>
      <w:tr w:rsidR="001D1415" w:rsidRPr="00603FD3" w14:paraId="599596A1" w14:textId="77777777" w:rsidTr="00E41751">
        <w:trPr>
          <w:trHeight w:val="1392"/>
        </w:trPr>
        <w:tc>
          <w:tcPr>
            <w:tcW w:w="5813" w:type="dxa"/>
            <w:shd w:val="clear" w:color="auto" w:fill="E2EFD9" w:themeFill="accent6" w:themeFillTint="33"/>
            <w:vAlign w:val="center"/>
          </w:tcPr>
          <w:p w14:paraId="10721971" w14:textId="77777777" w:rsidR="001D1415" w:rsidRPr="00603FD3" w:rsidRDefault="001D1415" w:rsidP="00E14801">
            <w:pPr>
              <w:jc w:val="center"/>
              <w:rPr>
                <w:rFonts w:eastAsiaTheme="majorEastAsia" w:cstheme="minorHAnsi"/>
                <w:b/>
                <w:sz w:val="20"/>
                <w:szCs w:val="20"/>
                <w:u w:val="single"/>
              </w:rPr>
            </w:pPr>
            <w:r w:rsidRPr="00603FD3">
              <w:rPr>
                <w:rFonts w:eastAsiaTheme="majorEastAsia" w:cstheme="minorHAnsi"/>
                <w:b/>
                <w:sz w:val="20"/>
                <w:szCs w:val="20"/>
                <w:u w:val="single"/>
              </w:rPr>
              <w:t>CLAUSES OBLIGATOIRES</w:t>
            </w:r>
          </w:p>
          <w:p w14:paraId="0446C983" w14:textId="77777777" w:rsidR="001D1415" w:rsidRPr="00603FD3" w:rsidRDefault="001D1415" w:rsidP="00E14801">
            <w:pPr>
              <w:jc w:val="center"/>
              <w:rPr>
                <w:rFonts w:eastAsiaTheme="majorEastAsia" w:cstheme="minorHAnsi"/>
                <w:bCs/>
                <w:i/>
                <w:iCs/>
                <w:sz w:val="20"/>
                <w:szCs w:val="20"/>
              </w:rPr>
            </w:pPr>
            <w:r w:rsidRPr="00603FD3">
              <w:rPr>
                <w:rFonts w:eastAsiaTheme="majorEastAsia" w:cstheme="minorHAnsi"/>
                <w:bCs/>
                <w:i/>
                <w:iCs/>
                <w:sz w:val="16"/>
                <w:szCs w:val="16"/>
              </w:rPr>
              <w:t>(Les conditions d’exécution du marché énoncent des exigences spécifiques liées à son exécution qui doivent obligatoirement être respectées par le titulaire sous peine de commettre une faute contractuelle engageant sa responsabilité et pouvant conduire à des sanctions contractuelles (application de pénalités, résiliation du marché)</w:t>
            </w:r>
          </w:p>
        </w:tc>
        <w:tc>
          <w:tcPr>
            <w:tcW w:w="5386" w:type="dxa"/>
            <w:shd w:val="clear" w:color="auto" w:fill="E2EFD9" w:themeFill="accent6" w:themeFillTint="33"/>
            <w:vAlign w:val="center"/>
          </w:tcPr>
          <w:p w14:paraId="2AAD68AE" w14:textId="77777777" w:rsidR="001D1415" w:rsidRPr="00603FD3" w:rsidRDefault="001D1415" w:rsidP="00E14801">
            <w:pPr>
              <w:jc w:val="center"/>
              <w:rPr>
                <w:rFonts w:eastAsiaTheme="majorEastAsia" w:cstheme="minorHAnsi"/>
                <w:b/>
                <w:sz w:val="20"/>
                <w:szCs w:val="20"/>
                <w:u w:val="single"/>
              </w:rPr>
            </w:pPr>
            <w:r w:rsidRPr="00603FD3">
              <w:rPr>
                <w:rFonts w:eastAsiaTheme="majorEastAsia" w:cstheme="minorHAnsi"/>
                <w:b/>
                <w:sz w:val="20"/>
                <w:szCs w:val="20"/>
                <w:u w:val="single"/>
              </w:rPr>
              <w:t>CLAUSES INCITATIVES</w:t>
            </w:r>
          </w:p>
        </w:tc>
      </w:tr>
      <w:tr w:rsidR="001D1415" w:rsidRPr="00603FD3" w14:paraId="25115D79" w14:textId="77777777" w:rsidTr="00E14801">
        <w:trPr>
          <w:trHeight w:val="535"/>
        </w:trPr>
        <w:tc>
          <w:tcPr>
            <w:tcW w:w="11199" w:type="dxa"/>
            <w:gridSpan w:val="2"/>
            <w:shd w:val="clear" w:color="auto" w:fill="A8D08D" w:themeFill="accent6" w:themeFillTint="99"/>
            <w:vAlign w:val="center"/>
          </w:tcPr>
          <w:p w14:paraId="5AC079E6" w14:textId="77777777" w:rsidR="001D1415" w:rsidRPr="00603FD3" w:rsidRDefault="001D1415" w:rsidP="00E14801">
            <w:pPr>
              <w:jc w:val="center"/>
              <w:rPr>
                <w:rFonts w:eastAsiaTheme="majorEastAsia" w:cstheme="minorHAnsi"/>
                <w:sz w:val="20"/>
                <w:szCs w:val="20"/>
              </w:rPr>
            </w:pPr>
            <w:r w:rsidRPr="00603FD3">
              <w:rPr>
                <w:rFonts w:eastAsiaTheme="majorEastAsia" w:cstheme="minorHAnsi"/>
                <w:b/>
                <w:bCs/>
                <w:sz w:val="24"/>
                <w:szCs w:val="24"/>
              </w:rPr>
              <w:t>ENVIRONNEMENTALES</w:t>
            </w:r>
          </w:p>
        </w:tc>
      </w:tr>
      <w:tr w:rsidR="001D1415" w:rsidRPr="00603FD3" w14:paraId="47920206" w14:textId="77777777" w:rsidTr="00E14801">
        <w:trPr>
          <w:trHeight w:val="393"/>
        </w:trPr>
        <w:tc>
          <w:tcPr>
            <w:tcW w:w="5813" w:type="dxa"/>
            <w:shd w:val="clear" w:color="auto" w:fill="F2F2F2" w:themeFill="background1" w:themeFillShade="F2"/>
            <w:vAlign w:val="center"/>
          </w:tcPr>
          <w:p w14:paraId="263BBA88" w14:textId="77777777" w:rsidR="001D1415" w:rsidRPr="00603FD3" w:rsidRDefault="001D1415" w:rsidP="00E14801">
            <w:pPr>
              <w:jc w:val="center"/>
              <w:rPr>
                <w:rFonts w:eastAsiaTheme="majorEastAsia" w:cstheme="minorHAnsi"/>
                <w:sz w:val="20"/>
                <w:szCs w:val="20"/>
              </w:rPr>
            </w:pPr>
            <w:r w:rsidRPr="00603FD3">
              <w:rPr>
                <w:rFonts w:eastAsiaTheme="majorEastAsia" w:cstheme="minorHAnsi"/>
                <w:sz w:val="20"/>
                <w:szCs w:val="20"/>
              </w:rPr>
              <w:t>Obligations en matière d’emballages</w:t>
            </w:r>
          </w:p>
        </w:tc>
        <w:tc>
          <w:tcPr>
            <w:tcW w:w="5386" w:type="dxa"/>
            <w:shd w:val="clear" w:color="auto" w:fill="F2F2F2" w:themeFill="background1" w:themeFillShade="F2"/>
            <w:vAlign w:val="center"/>
          </w:tcPr>
          <w:p w14:paraId="5C6FC97F" w14:textId="77777777" w:rsidR="001D1415" w:rsidRPr="00603FD3" w:rsidRDefault="001D1415" w:rsidP="00E14801">
            <w:pPr>
              <w:jc w:val="center"/>
              <w:rPr>
                <w:rFonts w:eastAsiaTheme="majorEastAsia" w:cstheme="minorHAnsi"/>
                <w:sz w:val="20"/>
                <w:szCs w:val="20"/>
              </w:rPr>
            </w:pPr>
          </w:p>
        </w:tc>
      </w:tr>
      <w:tr w:rsidR="001D1415" w:rsidRPr="00603FD3" w14:paraId="772527AE" w14:textId="77777777" w:rsidTr="00E14801">
        <w:trPr>
          <w:trHeight w:val="413"/>
        </w:trPr>
        <w:tc>
          <w:tcPr>
            <w:tcW w:w="5813" w:type="dxa"/>
            <w:shd w:val="clear" w:color="auto" w:fill="F2F2F2" w:themeFill="background1" w:themeFillShade="F2"/>
            <w:vAlign w:val="center"/>
          </w:tcPr>
          <w:p w14:paraId="476487CE" w14:textId="3429AD36" w:rsidR="001D1415" w:rsidRPr="00603FD3" w:rsidRDefault="00131E93" w:rsidP="00E14801">
            <w:pPr>
              <w:jc w:val="center"/>
              <w:rPr>
                <w:rFonts w:eastAsiaTheme="majorEastAsia" w:cstheme="minorHAnsi"/>
                <w:sz w:val="20"/>
                <w:szCs w:val="20"/>
              </w:rPr>
            </w:pPr>
            <w:r>
              <w:rPr>
                <w:rFonts w:eastAsiaTheme="majorEastAsia" w:cstheme="minorHAnsi"/>
                <w:sz w:val="20"/>
                <w:szCs w:val="20"/>
              </w:rPr>
              <w:t xml:space="preserve">Obligation </w:t>
            </w:r>
            <w:r w:rsidR="001C1A65">
              <w:rPr>
                <w:rFonts w:eastAsiaTheme="majorEastAsia" w:cstheme="minorHAnsi"/>
                <w:sz w:val="20"/>
                <w:szCs w:val="20"/>
              </w:rPr>
              <w:t xml:space="preserve">en </w:t>
            </w:r>
            <w:r w:rsidR="001C1A65" w:rsidRPr="00603FD3">
              <w:rPr>
                <w:rFonts w:eastAsiaTheme="majorEastAsia" w:cstheme="minorHAnsi"/>
                <w:sz w:val="20"/>
                <w:szCs w:val="20"/>
              </w:rPr>
              <w:t>matière</w:t>
            </w:r>
            <w:r w:rsidRPr="00603FD3">
              <w:rPr>
                <w:rFonts w:eastAsiaTheme="majorEastAsia" w:cstheme="minorHAnsi"/>
                <w:sz w:val="20"/>
                <w:szCs w:val="20"/>
              </w:rPr>
              <w:t xml:space="preserve"> de transport</w:t>
            </w:r>
          </w:p>
        </w:tc>
        <w:tc>
          <w:tcPr>
            <w:tcW w:w="5386" w:type="dxa"/>
            <w:shd w:val="clear" w:color="auto" w:fill="F2F2F2" w:themeFill="background1" w:themeFillShade="F2"/>
            <w:vAlign w:val="center"/>
          </w:tcPr>
          <w:p w14:paraId="76BACBB0" w14:textId="47CFF16C" w:rsidR="001D1415" w:rsidRPr="00603FD3" w:rsidRDefault="001D1415" w:rsidP="00E14801">
            <w:pPr>
              <w:jc w:val="center"/>
              <w:rPr>
                <w:rFonts w:eastAsiaTheme="majorEastAsia" w:cstheme="minorHAnsi"/>
                <w:sz w:val="20"/>
                <w:szCs w:val="20"/>
              </w:rPr>
            </w:pPr>
          </w:p>
        </w:tc>
      </w:tr>
      <w:tr w:rsidR="001D1415" w:rsidRPr="00603FD3" w14:paraId="6B2BF82D" w14:textId="77777777" w:rsidTr="00E14801">
        <w:trPr>
          <w:trHeight w:val="420"/>
        </w:trPr>
        <w:tc>
          <w:tcPr>
            <w:tcW w:w="5813" w:type="dxa"/>
            <w:shd w:val="clear" w:color="auto" w:fill="F2F2F2" w:themeFill="background1" w:themeFillShade="F2"/>
            <w:vAlign w:val="center"/>
          </w:tcPr>
          <w:p w14:paraId="67702B14" w14:textId="14D926C0" w:rsidR="001D1415" w:rsidRPr="00603FD3" w:rsidRDefault="008100D5" w:rsidP="00E14801">
            <w:pPr>
              <w:jc w:val="center"/>
              <w:rPr>
                <w:rFonts w:eastAsiaTheme="majorEastAsia" w:cstheme="minorHAnsi"/>
                <w:sz w:val="20"/>
                <w:szCs w:val="20"/>
              </w:rPr>
            </w:pPr>
            <w:r>
              <w:rPr>
                <w:rFonts w:eastAsiaTheme="majorEastAsia" w:cstheme="minorHAnsi"/>
                <w:sz w:val="20"/>
                <w:szCs w:val="20"/>
              </w:rPr>
              <w:t>Obligation e</w:t>
            </w:r>
            <w:r w:rsidRPr="00603FD3">
              <w:rPr>
                <w:rFonts w:eastAsiaTheme="majorEastAsia" w:cstheme="minorHAnsi"/>
                <w:sz w:val="20"/>
                <w:szCs w:val="20"/>
              </w:rPr>
              <w:t>n matière de reprise</w:t>
            </w:r>
          </w:p>
        </w:tc>
        <w:tc>
          <w:tcPr>
            <w:tcW w:w="5386" w:type="dxa"/>
            <w:shd w:val="clear" w:color="auto" w:fill="F2F2F2" w:themeFill="background1" w:themeFillShade="F2"/>
            <w:vAlign w:val="center"/>
          </w:tcPr>
          <w:p w14:paraId="55319B9F" w14:textId="419E1DEB" w:rsidR="001D1415" w:rsidRPr="00603FD3" w:rsidRDefault="001D1415" w:rsidP="00E14801">
            <w:pPr>
              <w:jc w:val="center"/>
              <w:rPr>
                <w:rFonts w:eastAsiaTheme="majorEastAsia" w:cstheme="minorHAnsi"/>
                <w:sz w:val="20"/>
                <w:szCs w:val="20"/>
              </w:rPr>
            </w:pPr>
          </w:p>
        </w:tc>
      </w:tr>
      <w:tr w:rsidR="001D1415" w:rsidRPr="00603FD3" w14:paraId="73BBDE83" w14:textId="77777777" w:rsidTr="00E14801">
        <w:trPr>
          <w:trHeight w:val="412"/>
        </w:trPr>
        <w:tc>
          <w:tcPr>
            <w:tcW w:w="5813" w:type="dxa"/>
            <w:shd w:val="clear" w:color="auto" w:fill="F2F2F2" w:themeFill="background1" w:themeFillShade="F2"/>
            <w:vAlign w:val="center"/>
          </w:tcPr>
          <w:p w14:paraId="10DCD940" w14:textId="77777777" w:rsidR="001D1415" w:rsidRPr="00603FD3" w:rsidRDefault="001D1415" w:rsidP="00E14801">
            <w:pPr>
              <w:jc w:val="center"/>
              <w:rPr>
                <w:rFonts w:eastAsiaTheme="majorEastAsia" w:cstheme="minorHAnsi"/>
                <w:sz w:val="20"/>
                <w:szCs w:val="20"/>
              </w:rPr>
            </w:pPr>
            <w:r w:rsidRPr="00603FD3">
              <w:rPr>
                <w:rFonts w:eastAsiaTheme="majorEastAsia" w:cstheme="minorHAnsi"/>
                <w:sz w:val="20"/>
                <w:szCs w:val="20"/>
              </w:rPr>
              <w:t>Obligation en matière de déchets</w:t>
            </w:r>
          </w:p>
        </w:tc>
        <w:tc>
          <w:tcPr>
            <w:tcW w:w="5386" w:type="dxa"/>
            <w:shd w:val="clear" w:color="auto" w:fill="F2F2F2" w:themeFill="background1" w:themeFillShade="F2"/>
            <w:vAlign w:val="center"/>
          </w:tcPr>
          <w:p w14:paraId="03872C51" w14:textId="77777777" w:rsidR="001D1415" w:rsidRPr="00603FD3" w:rsidRDefault="001D1415" w:rsidP="00E14801">
            <w:pPr>
              <w:rPr>
                <w:rFonts w:eastAsiaTheme="majorEastAsia" w:cstheme="minorHAnsi"/>
                <w:sz w:val="20"/>
                <w:szCs w:val="20"/>
              </w:rPr>
            </w:pPr>
          </w:p>
        </w:tc>
      </w:tr>
      <w:tr w:rsidR="001D1415" w:rsidRPr="00603FD3" w14:paraId="00FCCC60" w14:textId="77777777" w:rsidTr="00E14801">
        <w:trPr>
          <w:trHeight w:val="580"/>
        </w:trPr>
        <w:tc>
          <w:tcPr>
            <w:tcW w:w="11199" w:type="dxa"/>
            <w:gridSpan w:val="2"/>
            <w:shd w:val="clear" w:color="auto" w:fill="A8D08D" w:themeFill="accent6" w:themeFillTint="99"/>
            <w:vAlign w:val="center"/>
          </w:tcPr>
          <w:p w14:paraId="0954458C" w14:textId="77777777" w:rsidR="001D1415" w:rsidRPr="00603FD3" w:rsidRDefault="001D1415" w:rsidP="00E14801">
            <w:pPr>
              <w:shd w:val="clear" w:color="auto" w:fill="A8D08D" w:themeFill="accent6" w:themeFillTint="99"/>
              <w:jc w:val="center"/>
              <w:rPr>
                <w:rFonts w:eastAsiaTheme="majorEastAsia" w:cstheme="minorHAnsi"/>
                <w:b/>
                <w:bCs/>
                <w:sz w:val="20"/>
                <w:szCs w:val="20"/>
                <w:highlight w:val="cyan"/>
              </w:rPr>
            </w:pPr>
            <w:r w:rsidRPr="00603FD3">
              <w:rPr>
                <w:rFonts w:eastAsiaTheme="majorEastAsia" w:cstheme="minorHAnsi"/>
                <w:b/>
                <w:bCs/>
                <w:sz w:val="24"/>
                <w:szCs w:val="24"/>
              </w:rPr>
              <w:t>SOCIALES</w:t>
            </w:r>
          </w:p>
        </w:tc>
      </w:tr>
      <w:tr w:rsidR="001D1415" w:rsidRPr="00603FD3" w14:paraId="4A58B72D" w14:textId="77777777" w:rsidTr="00E41751">
        <w:trPr>
          <w:trHeight w:val="587"/>
        </w:trPr>
        <w:tc>
          <w:tcPr>
            <w:tcW w:w="5813" w:type="dxa"/>
            <w:shd w:val="clear" w:color="auto" w:fill="F2F2F2" w:themeFill="background1" w:themeFillShade="F2"/>
            <w:vAlign w:val="center"/>
          </w:tcPr>
          <w:p w14:paraId="7D394168" w14:textId="77777777" w:rsidR="001D1415" w:rsidRPr="00603FD3" w:rsidRDefault="001D1415" w:rsidP="00E14801">
            <w:pPr>
              <w:jc w:val="center"/>
              <w:rPr>
                <w:rFonts w:eastAsiaTheme="majorEastAsia" w:cstheme="minorHAnsi"/>
                <w:sz w:val="20"/>
                <w:szCs w:val="20"/>
              </w:rPr>
            </w:pPr>
          </w:p>
        </w:tc>
        <w:tc>
          <w:tcPr>
            <w:tcW w:w="5386" w:type="dxa"/>
            <w:shd w:val="clear" w:color="auto" w:fill="F2F2F2" w:themeFill="background1" w:themeFillShade="F2"/>
            <w:vAlign w:val="center"/>
          </w:tcPr>
          <w:p w14:paraId="188F3E60" w14:textId="77777777" w:rsidR="001D1415" w:rsidRPr="00603FD3" w:rsidRDefault="001D1415" w:rsidP="00E14801">
            <w:pPr>
              <w:jc w:val="center"/>
              <w:rPr>
                <w:rFonts w:eastAsiaTheme="majorEastAsia" w:cstheme="minorHAnsi"/>
                <w:sz w:val="20"/>
                <w:szCs w:val="20"/>
              </w:rPr>
            </w:pPr>
            <w:r w:rsidRPr="00603FD3">
              <w:rPr>
                <w:rFonts w:eastAsiaTheme="majorEastAsia" w:cstheme="minorHAnsi"/>
                <w:sz w:val="20"/>
                <w:szCs w:val="20"/>
              </w:rPr>
              <w:t>Heures d’insertions facultatives</w:t>
            </w:r>
          </w:p>
        </w:tc>
      </w:tr>
      <w:tr w:rsidR="001D1415" w:rsidRPr="00603FD3" w14:paraId="66C15846" w14:textId="77777777" w:rsidTr="00E41751">
        <w:trPr>
          <w:trHeight w:val="695"/>
        </w:trPr>
        <w:tc>
          <w:tcPr>
            <w:tcW w:w="5813" w:type="dxa"/>
            <w:shd w:val="clear" w:color="auto" w:fill="F2F2F2" w:themeFill="background1" w:themeFillShade="F2"/>
            <w:vAlign w:val="center"/>
          </w:tcPr>
          <w:p w14:paraId="48780C11" w14:textId="77777777" w:rsidR="001D1415" w:rsidRPr="00603FD3" w:rsidRDefault="001D1415" w:rsidP="00E14801">
            <w:pPr>
              <w:jc w:val="center"/>
              <w:rPr>
                <w:rFonts w:eastAsiaTheme="majorEastAsia" w:cstheme="minorHAnsi"/>
                <w:sz w:val="20"/>
                <w:szCs w:val="20"/>
              </w:rPr>
            </w:pPr>
            <w:r w:rsidRPr="00603FD3">
              <w:rPr>
                <w:rFonts w:eastAsiaTheme="majorEastAsia" w:cstheme="minorHAnsi"/>
                <w:sz w:val="20"/>
                <w:szCs w:val="20"/>
              </w:rPr>
              <w:t>La lutte contre les discriminations, notamment promotion de l’égalité femmes/hommes</w:t>
            </w:r>
          </w:p>
        </w:tc>
        <w:tc>
          <w:tcPr>
            <w:tcW w:w="5386" w:type="dxa"/>
            <w:shd w:val="clear" w:color="auto" w:fill="F2F2F2" w:themeFill="background1" w:themeFillShade="F2"/>
            <w:vAlign w:val="center"/>
          </w:tcPr>
          <w:p w14:paraId="4073D665" w14:textId="77777777" w:rsidR="001D1415" w:rsidRPr="00603FD3" w:rsidRDefault="001D1415" w:rsidP="00E14801">
            <w:pPr>
              <w:jc w:val="center"/>
              <w:rPr>
                <w:rFonts w:eastAsiaTheme="majorEastAsia" w:cstheme="minorHAnsi"/>
                <w:sz w:val="20"/>
                <w:szCs w:val="20"/>
              </w:rPr>
            </w:pPr>
          </w:p>
          <w:p w14:paraId="36F4C1F3" w14:textId="77777777" w:rsidR="001D1415" w:rsidRPr="00603FD3" w:rsidRDefault="001D1415" w:rsidP="00E14801">
            <w:pPr>
              <w:jc w:val="center"/>
              <w:rPr>
                <w:rFonts w:eastAsiaTheme="majorEastAsia" w:cstheme="minorHAnsi"/>
                <w:sz w:val="20"/>
                <w:szCs w:val="20"/>
              </w:rPr>
            </w:pPr>
          </w:p>
        </w:tc>
      </w:tr>
      <w:tr w:rsidR="00A24CB3" w:rsidRPr="00603FD3" w14:paraId="29C3A7D2" w14:textId="77777777" w:rsidTr="00E41751">
        <w:trPr>
          <w:trHeight w:val="695"/>
        </w:trPr>
        <w:tc>
          <w:tcPr>
            <w:tcW w:w="5813" w:type="dxa"/>
            <w:shd w:val="clear" w:color="auto" w:fill="F2F2F2" w:themeFill="background1" w:themeFillShade="F2"/>
            <w:vAlign w:val="center"/>
          </w:tcPr>
          <w:p w14:paraId="37B57AF9" w14:textId="55E81B96" w:rsidR="00A24CB3" w:rsidRPr="00603FD3" w:rsidRDefault="00A24CB3" w:rsidP="00E14801">
            <w:pPr>
              <w:jc w:val="center"/>
              <w:rPr>
                <w:rFonts w:eastAsiaTheme="majorEastAsia" w:cstheme="minorHAnsi"/>
                <w:sz w:val="20"/>
                <w:szCs w:val="20"/>
              </w:rPr>
            </w:pPr>
            <w:r w:rsidRPr="00A24CB3">
              <w:rPr>
                <w:rFonts w:eastAsiaTheme="majorEastAsia" w:cstheme="minorHAnsi"/>
                <w:sz w:val="20"/>
                <w:szCs w:val="20"/>
              </w:rPr>
              <w:t>Commerce équitable, respect des exigences éthiques et devoir de vigilance</w:t>
            </w:r>
          </w:p>
        </w:tc>
        <w:tc>
          <w:tcPr>
            <w:tcW w:w="5386" w:type="dxa"/>
            <w:shd w:val="clear" w:color="auto" w:fill="F2F2F2" w:themeFill="background1" w:themeFillShade="F2"/>
            <w:vAlign w:val="center"/>
          </w:tcPr>
          <w:p w14:paraId="483B65F8" w14:textId="77777777" w:rsidR="00A24CB3" w:rsidRPr="00603FD3" w:rsidRDefault="00A24CB3" w:rsidP="00E14801">
            <w:pPr>
              <w:jc w:val="center"/>
              <w:rPr>
                <w:rFonts w:eastAsiaTheme="majorEastAsia" w:cstheme="minorHAnsi"/>
                <w:sz w:val="20"/>
                <w:szCs w:val="20"/>
              </w:rPr>
            </w:pPr>
          </w:p>
        </w:tc>
      </w:tr>
    </w:tbl>
    <w:p w14:paraId="21D204BD" w14:textId="73077C49" w:rsidR="0050406E" w:rsidRDefault="0050406E" w:rsidP="00734E1D">
      <w:pPr>
        <w:jc w:val="both"/>
        <w:rPr>
          <w:rFonts w:cstheme="minorHAnsi"/>
          <w:b/>
          <w:i/>
          <w:color w:val="70AD47" w:themeColor="accent6"/>
        </w:rPr>
      </w:pPr>
      <w:r w:rsidRPr="00734E1D">
        <w:rPr>
          <w:rFonts w:cstheme="minorHAnsi"/>
          <w:b/>
          <w:i/>
          <w:color w:val="70AD47" w:themeColor="accent6"/>
        </w:rPr>
        <w:br w:type="page"/>
      </w:r>
    </w:p>
    <w:p w14:paraId="4970D810" w14:textId="77777777" w:rsidR="00BB3FEE" w:rsidRPr="00734E1D" w:rsidRDefault="00BB3FEE" w:rsidP="00734E1D">
      <w:pPr>
        <w:jc w:val="both"/>
        <w:rPr>
          <w:rFonts w:cstheme="minorHAnsi"/>
          <w:b/>
          <w:i/>
          <w:color w:val="70AD47" w:themeColor="accent6"/>
        </w:rPr>
      </w:pPr>
    </w:p>
    <w:p w14:paraId="1591129C" w14:textId="77777777" w:rsidR="00A90B99" w:rsidRPr="00734E1D" w:rsidRDefault="00A90B99" w:rsidP="00734E1D">
      <w:pPr>
        <w:jc w:val="both"/>
        <w:rPr>
          <w:rFonts w:cstheme="minorHAnsi"/>
          <w:b/>
          <w:i/>
          <w:color w:val="70AD47" w:themeColor="accent6"/>
        </w:rPr>
      </w:pPr>
    </w:p>
    <w:sdt>
      <w:sdtPr>
        <w:rPr>
          <w:rFonts w:asciiTheme="minorHAnsi" w:eastAsiaTheme="minorEastAsia" w:hAnsiTheme="minorHAnsi" w:cstheme="minorHAns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734E1D" w:rsidRDefault="00211FBB" w:rsidP="00734E1D">
          <w:pPr>
            <w:pStyle w:val="En-ttedetabledesmatires"/>
            <w:jc w:val="both"/>
            <w:rPr>
              <w:rFonts w:asciiTheme="minorHAnsi" w:hAnsiTheme="minorHAnsi" w:cstheme="minorHAnsi"/>
              <w:color w:val="70AD47" w:themeColor="accent6"/>
              <w:sz w:val="22"/>
              <w:szCs w:val="22"/>
            </w:rPr>
          </w:pPr>
          <w:r w:rsidRPr="00734E1D">
            <w:rPr>
              <w:rFonts w:asciiTheme="minorHAnsi" w:hAnsiTheme="minorHAnsi" w:cstheme="minorHAnsi"/>
              <w:color w:val="70AD47" w:themeColor="accent6"/>
              <w:sz w:val="22"/>
              <w:szCs w:val="22"/>
            </w:rPr>
            <w:t>Table des matières</w:t>
          </w:r>
        </w:p>
        <w:p w14:paraId="0BF5FE87" w14:textId="07410629" w:rsidR="00301B23" w:rsidRDefault="00211FBB">
          <w:pPr>
            <w:pStyle w:val="TM1"/>
            <w:tabs>
              <w:tab w:val="right" w:leader="dot" w:pos="9060"/>
            </w:tabs>
            <w:rPr>
              <w:rFonts w:cstheme="minorBidi"/>
              <w:noProof/>
              <w:kern w:val="2"/>
              <w:sz w:val="24"/>
              <w:szCs w:val="24"/>
              <w14:ligatures w14:val="standardContextual"/>
            </w:rPr>
          </w:pPr>
          <w:r w:rsidRPr="00734E1D">
            <w:rPr>
              <w:rFonts w:cstheme="minorHAnsi"/>
            </w:rPr>
            <w:fldChar w:fldCharType="begin"/>
          </w:r>
          <w:r w:rsidRPr="00734E1D">
            <w:rPr>
              <w:rFonts w:cstheme="minorHAnsi"/>
            </w:rPr>
            <w:instrText xml:space="preserve"> TOC \o "1-3" \h \z \u </w:instrText>
          </w:r>
          <w:r w:rsidRPr="00734E1D">
            <w:rPr>
              <w:rFonts w:cstheme="minorHAnsi"/>
            </w:rPr>
            <w:fldChar w:fldCharType="separate"/>
          </w:r>
          <w:hyperlink w:anchor="_Toc222900587" w:history="1">
            <w:r w:rsidR="00301B23" w:rsidRPr="00361170">
              <w:rPr>
                <w:rStyle w:val="Lienhypertexte"/>
                <w:rFonts w:cstheme="minorHAnsi"/>
                <w:b/>
                <w:noProof/>
              </w:rPr>
              <w:t>PARTIE I</w:t>
            </w:r>
            <w:r w:rsidR="00301B23">
              <w:rPr>
                <w:noProof/>
                <w:webHidden/>
              </w:rPr>
              <w:tab/>
            </w:r>
            <w:r w:rsidR="00301B23">
              <w:rPr>
                <w:noProof/>
                <w:webHidden/>
              </w:rPr>
              <w:fldChar w:fldCharType="begin"/>
            </w:r>
            <w:r w:rsidR="00301B23">
              <w:rPr>
                <w:noProof/>
                <w:webHidden/>
              </w:rPr>
              <w:instrText xml:space="preserve"> PAGEREF _Toc222900587 \h </w:instrText>
            </w:r>
            <w:r w:rsidR="00301B23">
              <w:rPr>
                <w:noProof/>
                <w:webHidden/>
              </w:rPr>
            </w:r>
            <w:r w:rsidR="00301B23">
              <w:rPr>
                <w:noProof/>
                <w:webHidden/>
              </w:rPr>
              <w:fldChar w:fldCharType="separate"/>
            </w:r>
            <w:r w:rsidR="00301B23">
              <w:rPr>
                <w:noProof/>
                <w:webHidden/>
              </w:rPr>
              <w:t>4</w:t>
            </w:r>
            <w:r w:rsidR="00301B23">
              <w:rPr>
                <w:noProof/>
                <w:webHidden/>
              </w:rPr>
              <w:fldChar w:fldCharType="end"/>
            </w:r>
          </w:hyperlink>
        </w:p>
        <w:p w14:paraId="773249F2" w14:textId="7ACFB517" w:rsidR="00301B23" w:rsidRDefault="00301B23">
          <w:pPr>
            <w:pStyle w:val="TM1"/>
            <w:tabs>
              <w:tab w:val="right" w:leader="dot" w:pos="9060"/>
            </w:tabs>
            <w:rPr>
              <w:rFonts w:cstheme="minorBidi"/>
              <w:noProof/>
              <w:kern w:val="2"/>
              <w:sz w:val="24"/>
              <w:szCs w:val="24"/>
              <w14:ligatures w14:val="standardContextual"/>
            </w:rPr>
          </w:pPr>
          <w:hyperlink w:anchor="_Toc222900588" w:history="1">
            <w:r w:rsidRPr="00361170">
              <w:rPr>
                <w:rStyle w:val="Lienhypertexte"/>
                <w:rFonts w:cstheme="minorHAnsi"/>
                <w:b/>
                <w:noProof/>
              </w:rPr>
              <w:t>LE VOLET ENVIRONNEMENTAL</w:t>
            </w:r>
            <w:r>
              <w:rPr>
                <w:noProof/>
                <w:webHidden/>
              </w:rPr>
              <w:tab/>
            </w:r>
            <w:r>
              <w:rPr>
                <w:noProof/>
                <w:webHidden/>
              </w:rPr>
              <w:fldChar w:fldCharType="begin"/>
            </w:r>
            <w:r>
              <w:rPr>
                <w:noProof/>
                <w:webHidden/>
              </w:rPr>
              <w:instrText xml:space="preserve"> PAGEREF _Toc222900588 \h </w:instrText>
            </w:r>
            <w:r>
              <w:rPr>
                <w:noProof/>
                <w:webHidden/>
              </w:rPr>
            </w:r>
            <w:r>
              <w:rPr>
                <w:noProof/>
                <w:webHidden/>
              </w:rPr>
              <w:fldChar w:fldCharType="separate"/>
            </w:r>
            <w:r>
              <w:rPr>
                <w:noProof/>
                <w:webHidden/>
              </w:rPr>
              <w:t>4</w:t>
            </w:r>
            <w:r>
              <w:rPr>
                <w:noProof/>
                <w:webHidden/>
              </w:rPr>
              <w:fldChar w:fldCharType="end"/>
            </w:r>
          </w:hyperlink>
        </w:p>
        <w:p w14:paraId="5F4BBF00" w14:textId="745416FB" w:rsidR="00301B23" w:rsidRDefault="00301B23">
          <w:pPr>
            <w:pStyle w:val="TM2"/>
            <w:tabs>
              <w:tab w:val="left" w:pos="720"/>
              <w:tab w:val="right" w:leader="dot" w:pos="9060"/>
            </w:tabs>
            <w:rPr>
              <w:rFonts w:cstheme="minorBidi"/>
              <w:noProof/>
              <w:kern w:val="2"/>
              <w:sz w:val="24"/>
              <w:szCs w:val="24"/>
              <w14:ligatures w14:val="standardContextual"/>
            </w:rPr>
          </w:pPr>
          <w:hyperlink w:anchor="_Toc222900589" w:history="1">
            <w:r w:rsidRPr="00361170">
              <w:rPr>
                <w:rStyle w:val="Lienhypertexte"/>
                <w:rFonts w:cstheme="minorHAnsi"/>
                <w:noProof/>
              </w:rPr>
              <w:t>I-</w:t>
            </w:r>
            <w:r>
              <w:rPr>
                <w:rFonts w:cstheme="minorBidi"/>
                <w:noProof/>
                <w:kern w:val="2"/>
                <w:sz w:val="24"/>
                <w:szCs w:val="24"/>
                <w14:ligatures w14:val="standardContextual"/>
              </w:rPr>
              <w:tab/>
            </w:r>
            <w:r w:rsidRPr="00361170">
              <w:rPr>
                <w:rStyle w:val="Lienhypertexte"/>
                <w:rFonts w:cstheme="minorHAnsi"/>
                <w:noProof/>
              </w:rPr>
              <w:t>Les obligations en matière d’emballages</w:t>
            </w:r>
            <w:r>
              <w:rPr>
                <w:noProof/>
                <w:webHidden/>
              </w:rPr>
              <w:tab/>
            </w:r>
            <w:r>
              <w:rPr>
                <w:noProof/>
                <w:webHidden/>
              </w:rPr>
              <w:fldChar w:fldCharType="begin"/>
            </w:r>
            <w:r>
              <w:rPr>
                <w:noProof/>
                <w:webHidden/>
              </w:rPr>
              <w:instrText xml:space="preserve"> PAGEREF _Toc222900589 \h </w:instrText>
            </w:r>
            <w:r>
              <w:rPr>
                <w:noProof/>
                <w:webHidden/>
              </w:rPr>
            </w:r>
            <w:r>
              <w:rPr>
                <w:noProof/>
                <w:webHidden/>
              </w:rPr>
              <w:fldChar w:fldCharType="separate"/>
            </w:r>
            <w:r>
              <w:rPr>
                <w:noProof/>
                <w:webHidden/>
              </w:rPr>
              <w:t>5</w:t>
            </w:r>
            <w:r>
              <w:rPr>
                <w:noProof/>
                <w:webHidden/>
              </w:rPr>
              <w:fldChar w:fldCharType="end"/>
            </w:r>
          </w:hyperlink>
        </w:p>
        <w:p w14:paraId="77EB4707" w14:textId="3293434B" w:rsidR="00301B23" w:rsidRDefault="00301B23">
          <w:pPr>
            <w:pStyle w:val="TM3"/>
            <w:tabs>
              <w:tab w:val="left" w:pos="960"/>
              <w:tab w:val="right" w:leader="dot" w:pos="9060"/>
            </w:tabs>
            <w:rPr>
              <w:rFonts w:cstheme="minorBidi"/>
              <w:noProof/>
              <w:kern w:val="2"/>
              <w:sz w:val="24"/>
              <w:szCs w:val="24"/>
              <w14:ligatures w14:val="standardContextual"/>
            </w:rPr>
          </w:pPr>
          <w:hyperlink w:anchor="_Toc222900590" w:history="1">
            <w:r w:rsidRPr="00361170">
              <w:rPr>
                <w:rStyle w:val="Lienhypertexte"/>
                <w:rFonts w:cstheme="minorHAnsi"/>
                <w:noProof/>
              </w:rPr>
              <w:t>A-</w:t>
            </w:r>
            <w:r>
              <w:rPr>
                <w:rFonts w:cstheme="minorBidi"/>
                <w:noProof/>
                <w:kern w:val="2"/>
                <w:sz w:val="24"/>
                <w:szCs w:val="24"/>
                <w14:ligatures w14:val="standardContextual"/>
              </w:rPr>
              <w:tab/>
            </w:r>
            <w:r w:rsidRPr="00361170">
              <w:rPr>
                <w:rStyle w:val="Lienhypertexte"/>
                <w:rFonts w:cstheme="minorHAnsi"/>
                <w:noProof/>
              </w:rPr>
              <w:t>Qualité des emballages</w:t>
            </w:r>
            <w:r>
              <w:rPr>
                <w:noProof/>
                <w:webHidden/>
              </w:rPr>
              <w:tab/>
            </w:r>
            <w:r>
              <w:rPr>
                <w:noProof/>
                <w:webHidden/>
              </w:rPr>
              <w:fldChar w:fldCharType="begin"/>
            </w:r>
            <w:r>
              <w:rPr>
                <w:noProof/>
                <w:webHidden/>
              </w:rPr>
              <w:instrText xml:space="preserve"> PAGEREF _Toc222900590 \h </w:instrText>
            </w:r>
            <w:r>
              <w:rPr>
                <w:noProof/>
                <w:webHidden/>
              </w:rPr>
            </w:r>
            <w:r>
              <w:rPr>
                <w:noProof/>
                <w:webHidden/>
              </w:rPr>
              <w:fldChar w:fldCharType="separate"/>
            </w:r>
            <w:r>
              <w:rPr>
                <w:noProof/>
                <w:webHidden/>
              </w:rPr>
              <w:t>5</w:t>
            </w:r>
            <w:r>
              <w:rPr>
                <w:noProof/>
                <w:webHidden/>
              </w:rPr>
              <w:fldChar w:fldCharType="end"/>
            </w:r>
          </w:hyperlink>
        </w:p>
        <w:p w14:paraId="1810C431" w14:textId="375B4F2B" w:rsidR="00301B23" w:rsidRDefault="00301B23">
          <w:pPr>
            <w:pStyle w:val="TM3"/>
            <w:tabs>
              <w:tab w:val="left" w:pos="960"/>
              <w:tab w:val="right" w:leader="dot" w:pos="9060"/>
            </w:tabs>
            <w:rPr>
              <w:rFonts w:cstheme="minorBidi"/>
              <w:noProof/>
              <w:kern w:val="2"/>
              <w:sz w:val="24"/>
              <w:szCs w:val="24"/>
              <w14:ligatures w14:val="standardContextual"/>
            </w:rPr>
          </w:pPr>
          <w:hyperlink w:anchor="_Toc222900591" w:history="1">
            <w:r w:rsidRPr="00361170">
              <w:rPr>
                <w:rStyle w:val="Lienhypertexte"/>
                <w:rFonts w:cstheme="minorHAnsi"/>
                <w:noProof/>
              </w:rPr>
              <w:t>B-</w:t>
            </w:r>
            <w:r>
              <w:rPr>
                <w:rFonts w:cstheme="minorBidi"/>
                <w:noProof/>
                <w:kern w:val="2"/>
                <w:sz w:val="24"/>
                <w:szCs w:val="24"/>
                <w14:ligatures w14:val="standardContextual"/>
              </w:rPr>
              <w:tab/>
            </w:r>
            <w:r w:rsidRPr="00361170">
              <w:rPr>
                <w:rStyle w:val="Lienhypertexte"/>
                <w:rFonts w:cstheme="minorHAnsi"/>
                <w:noProof/>
              </w:rPr>
              <w:t>Propriété des emballages</w:t>
            </w:r>
            <w:r>
              <w:rPr>
                <w:noProof/>
                <w:webHidden/>
              </w:rPr>
              <w:tab/>
            </w:r>
            <w:r>
              <w:rPr>
                <w:noProof/>
                <w:webHidden/>
              </w:rPr>
              <w:fldChar w:fldCharType="begin"/>
            </w:r>
            <w:r>
              <w:rPr>
                <w:noProof/>
                <w:webHidden/>
              </w:rPr>
              <w:instrText xml:space="preserve"> PAGEREF _Toc222900591 \h </w:instrText>
            </w:r>
            <w:r>
              <w:rPr>
                <w:noProof/>
                <w:webHidden/>
              </w:rPr>
            </w:r>
            <w:r>
              <w:rPr>
                <w:noProof/>
                <w:webHidden/>
              </w:rPr>
              <w:fldChar w:fldCharType="separate"/>
            </w:r>
            <w:r>
              <w:rPr>
                <w:noProof/>
                <w:webHidden/>
              </w:rPr>
              <w:t>6</w:t>
            </w:r>
            <w:r>
              <w:rPr>
                <w:noProof/>
                <w:webHidden/>
              </w:rPr>
              <w:fldChar w:fldCharType="end"/>
            </w:r>
          </w:hyperlink>
        </w:p>
        <w:p w14:paraId="56434DF6" w14:textId="56068384" w:rsidR="00301B23" w:rsidRDefault="00301B23">
          <w:pPr>
            <w:pStyle w:val="TM2"/>
            <w:tabs>
              <w:tab w:val="left" w:pos="720"/>
              <w:tab w:val="right" w:leader="dot" w:pos="9060"/>
            </w:tabs>
            <w:rPr>
              <w:rFonts w:cstheme="minorBidi"/>
              <w:noProof/>
              <w:kern w:val="2"/>
              <w:sz w:val="24"/>
              <w:szCs w:val="24"/>
              <w14:ligatures w14:val="standardContextual"/>
            </w:rPr>
          </w:pPr>
          <w:hyperlink w:anchor="_Toc222900592" w:history="1">
            <w:r w:rsidRPr="00361170">
              <w:rPr>
                <w:rStyle w:val="Lienhypertexte"/>
                <w:rFonts w:cstheme="minorHAnsi"/>
                <w:noProof/>
              </w:rPr>
              <w:t>II-</w:t>
            </w:r>
            <w:r>
              <w:rPr>
                <w:rFonts w:cstheme="minorBidi"/>
                <w:noProof/>
                <w:kern w:val="2"/>
                <w:sz w:val="24"/>
                <w:szCs w:val="24"/>
                <w14:ligatures w14:val="standardContextual"/>
              </w:rPr>
              <w:tab/>
            </w:r>
            <w:r w:rsidRPr="00361170">
              <w:rPr>
                <w:rStyle w:val="Lienhypertexte"/>
                <w:rFonts w:cstheme="minorHAnsi"/>
                <w:noProof/>
              </w:rPr>
              <w:t>Les obligations en matière de transport</w:t>
            </w:r>
            <w:r>
              <w:rPr>
                <w:noProof/>
                <w:webHidden/>
              </w:rPr>
              <w:tab/>
            </w:r>
            <w:r>
              <w:rPr>
                <w:noProof/>
                <w:webHidden/>
              </w:rPr>
              <w:fldChar w:fldCharType="begin"/>
            </w:r>
            <w:r>
              <w:rPr>
                <w:noProof/>
                <w:webHidden/>
              </w:rPr>
              <w:instrText xml:space="preserve"> PAGEREF _Toc222900592 \h </w:instrText>
            </w:r>
            <w:r>
              <w:rPr>
                <w:noProof/>
                <w:webHidden/>
              </w:rPr>
            </w:r>
            <w:r>
              <w:rPr>
                <w:noProof/>
                <w:webHidden/>
              </w:rPr>
              <w:fldChar w:fldCharType="separate"/>
            </w:r>
            <w:r>
              <w:rPr>
                <w:noProof/>
                <w:webHidden/>
              </w:rPr>
              <w:t>6</w:t>
            </w:r>
            <w:r>
              <w:rPr>
                <w:noProof/>
                <w:webHidden/>
              </w:rPr>
              <w:fldChar w:fldCharType="end"/>
            </w:r>
          </w:hyperlink>
        </w:p>
        <w:p w14:paraId="6F12BF1D" w14:textId="49D0BC39" w:rsidR="00301B23" w:rsidRDefault="00301B23">
          <w:pPr>
            <w:pStyle w:val="TM3"/>
            <w:tabs>
              <w:tab w:val="left" w:pos="960"/>
              <w:tab w:val="right" w:leader="dot" w:pos="9060"/>
            </w:tabs>
            <w:rPr>
              <w:rFonts w:cstheme="minorBidi"/>
              <w:noProof/>
              <w:kern w:val="2"/>
              <w:sz w:val="24"/>
              <w:szCs w:val="24"/>
              <w14:ligatures w14:val="standardContextual"/>
            </w:rPr>
          </w:pPr>
          <w:hyperlink w:anchor="_Toc222900593" w:history="1">
            <w:r w:rsidRPr="00361170">
              <w:rPr>
                <w:rStyle w:val="Lienhypertexte"/>
                <w:rFonts w:cstheme="minorHAnsi"/>
                <w:noProof/>
              </w:rPr>
              <w:t>A-</w:t>
            </w:r>
            <w:r>
              <w:rPr>
                <w:rFonts w:cstheme="minorBidi"/>
                <w:noProof/>
                <w:kern w:val="2"/>
                <w:sz w:val="24"/>
                <w:szCs w:val="24"/>
                <w14:ligatures w14:val="standardContextual"/>
              </w:rPr>
              <w:tab/>
            </w:r>
            <w:r w:rsidRPr="00361170">
              <w:rPr>
                <w:rStyle w:val="Lienhypertexte"/>
                <w:rFonts w:cstheme="minorHAnsi"/>
                <w:noProof/>
              </w:rPr>
              <w:t>Mode de transport pour les livraisons</w:t>
            </w:r>
            <w:r>
              <w:rPr>
                <w:noProof/>
                <w:webHidden/>
              </w:rPr>
              <w:tab/>
            </w:r>
            <w:r>
              <w:rPr>
                <w:noProof/>
                <w:webHidden/>
              </w:rPr>
              <w:fldChar w:fldCharType="begin"/>
            </w:r>
            <w:r>
              <w:rPr>
                <w:noProof/>
                <w:webHidden/>
              </w:rPr>
              <w:instrText xml:space="preserve"> PAGEREF _Toc222900593 \h </w:instrText>
            </w:r>
            <w:r>
              <w:rPr>
                <w:noProof/>
                <w:webHidden/>
              </w:rPr>
            </w:r>
            <w:r>
              <w:rPr>
                <w:noProof/>
                <w:webHidden/>
              </w:rPr>
              <w:fldChar w:fldCharType="separate"/>
            </w:r>
            <w:r>
              <w:rPr>
                <w:noProof/>
                <w:webHidden/>
              </w:rPr>
              <w:t>6</w:t>
            </w:r>
            <w:r>
              <w:rPr>
                <w:noProof/>
                <w:webHidden/>
              </w:rPr>
              <w:fldChar w:fldCharType="end"/>
            </w:r>
          </w:hyperlink>
        </w:p>
        <w:p w14:paraId="3D3AB931" w14:textId="77E97683" w:rsidR="00301B23" w:rsidRDefault="00301B23">
          <w:pPr>
            <w:pStyle w:val="TM3"/>
            <w:tabs>
              <w:tab w:val="left" w:pos="960"/>
              <w:tab w:val="right" w:leader="dot" w:pos="9060"/>
            </w:tabs>
            <w:rPr>
              <w:rFonts w:cstheme="minorBidi"/>
              <w:noProof/>
              <w:kern w:val="2"/>
              <w:sz w:val="24"/>
              <w:szCs w:val="24"/>
              <w14:ligatures w14:val="standardContextual"/>
            </w:rPr>
          </w:pPr>
          <w:hyperlink w:anchor="_Toc222900594" w:history="1">
            <w:r w:rsidRPr="00361170">
              <w:rPr>
                <w:rStyle w:val="Lienhypertexte"/>
                <w:rFonts w:cstheme="minorHAnsi"/>
                <w:noProof/>
              </w:rPr>
              <w:t>B-</w:t>
            </w:r>
            <w:r>
              <w:rPr>
                <w:rFonts w:cstheme="minorBidi"/>
                <w:noProof/>
                <w:kern w:val="2"/>
                <w:sz w:val="24"/>
                <w:szCs w:val="24"/>
                <w14:ligatures w14:val="standardContextual"/>
              </w:rPr>
              <w:tab/>
            </w:r>
            <w:r w:rsidRPr="00361170">
              <w:rPr>
                <w:rStyle w:val="Lienhypertexte"/>
                <w:rFonts w:cstheme="minorHAnsi"/>
                <w:noProof/>
              </w:rPr>
              <w:t>MODALITES DE LIVRAISON</w:t>
            </w:r>
            <w:r>
              <w:rPr>
                <w:noProof/>
                <w:webHidden/>
              </w:rPr>
              <w:tab/>
            </w:r>
            <w:r>
              <w:rPr>
                <w:noProof/>
                <w:webHidden/>
              </w:rPr>
              <w:fldChar w:fldCharType="begin"/>
            </w:r>
            <w:r>
              <w:rPr>
                <w:noProof/>
                <w:webHidden/>
              </w:rPr>
              <w:instrText xml:space="preserve"> PAGEREF _Toc222900594 \h </w:instrText>
            </w:r>
            <w:r>
              <w:rPr>
                <w:noProof/>
                <w:webHidden/>
              </w:rPr>
            </w:r>
            <w:r>
              <w:rPr>
                <w:noProof/>
                <w:webHidden/>
              </w:rPr>
              <w:fldChar w:fldCharType="separate"/>
            </w:r>
            <w:r>
              <w:rPr>
                <w:noProof/>
                <w:webHidden/>
              </w:rPr>
              <w:t>7</w:t>
            </w:r>
            <w:r>
              <w:rPr>
                <w:noProof/>
                <w:webHidden/>
              </w:rPr>
              <w:fldChar w:fldCharType="end"/>
            </w:r>
          </w:hyperlink>
        </w:p>
        <w:p w14:paraId="10DF57CF" w14:textId="53FF9D8E" w:rsidR="00301B23" w:rsidRDefault="00301B23">
          <w:pPr>
            <w:pStyle w:val="TM2"/>
            <w:tabs>
              <w:tab w:val="left" w:pos="720"/>
              <w:tab w:val="right" w:leader="dot" w:pos="9060"/>
            </w:tabs>
            <w:rPr>
              <w:rFonts w:cstheme="minorBidi"/>
              <w:noProof/>
              <w:kern w:val="2"/>
              <w:sz w:val="24"/>
              <w:szCs w:val="24"/>
              <w14:ligatures w14:val="standardContextual"/>
            </w:rPr>
          </w:pPr>
          <w:hyperlink w:anchor="_Toc222900595" w:history="1">
            <w:r w:rsidRPr="00361170">
              <w:rPr>
                <w:rStyle w:val="Lienhypertexte"/>
                <w:rFonts w:cstheme="minorHAnsi"/>
                <w:noProof/>
              </w:rPr>
              <w:t>III-</w:t>
            </w:r>
            <w:r>
              <w:rPr>
                <w:rFonts w:cstheme="minorBidi"/>
                <w:noProof/>
                <w:kern w:val="2"/>
                <w:sz w:val="24"/>
                <w:szCs w:val="24"/>
                <w14:ligatures w14:val="standardContextual"/>
              </w:rPr>
              <w:tab/>
            </w:r>
            <w:r w:rsidRPr="00361170">
              <w:rPr>
                <w:rStyle w:val="Lienhypertexte"/>
                <w:rFonts w:cstheme="minorHAnsi"/>
                <w:noProof/>
              </w:rPr>
              <w:t>Les obligations en matière de déchets</w:t>
            </w:r>
            <w:r>
              <w:rPr>
                <w:noProof/>
                <w:webHidden/>
              </w:rPr>
              <w:tab/>
            </w:r>
            <w:r>
              <w:rPr>
                <w:noProof/>
                <w:webHidden/>
              </w:rPr>
              <w:fldChar w:fldCharType="begin"/>
            </w:r>
            <w:r>
              <w:rPr>
                <w:noProof/>
                <w:webHidden/>
              </w:rPr>
              <w:instrText xml:space="preserve"> PAGEREF _Toc222900595 \h </w:instrText>
            </w:r>
            <w:r>
              <w:rPr>
                <w:noProof/>
                <w:webHidden/>
              </w:rPr>
            </w:r>
            <w:r>
              <w:rPr>
                <w:noProof/>
                <w:webHidden/>
              </w:rPr>
              <w:fldChar w:fldCharType="separate"/>
            </w:r>
            <w:r>
              <w:rPr>
                <w:noProof/>
                <w:webHidden/>
              </w:rPr>
              <w:t>8</w:t>
            </w:r>
            <w:r>
              <w:rPr>
                <w:noProof/>
                <w:webHidden/>
              </w:rPr>
              <w:fldChar w:fldCharType="end"/>
            </w:r>
          </w:hyperlink>
        </w:p>
        <w:p w14:paraId="63384CDB" w14:textId="0D3D81A0" w:rsidR="00301B23" w:rsidRDefault="00301B23">
          <w:pPr>
            <w:pStyle w:val="TM3"/>
            <w:tabs>
              <w:tab w:val="left" w:pos="960"/>
              <w:tab w:val="right" w:leader="dot" w:pos="9060"/>
            </w:tabs>
            <w:rPr>
              <w:rFonts w:cstheme="minorBidi"/>
              <w:noProof/>
              <w:kern w:val="2"/>
              <w:sz w:val="24"/>
              <w:szCs w:val="24"/>
              <w14:ligatures w14:val="standardContextual"/>
            </w:rPr>
          </w:pPr>
          <w:hyperlink w:anchor="_Toc222900596" w:history="1">
            <w:r w:rsidRPr="00361170">
              <w:rPr>
                <w:rStyle w:val="Lienhypertexte"/>
                <w:rFonts w:cstheme="minorHAnsi"/>
                <w:noProof/>
              </w:rPr>
              <w:t>A-</w:t>
            </w:r>
            <w:r>
              <w:rPr>
                <w:rFonts w:cstheme="minorBidi"/>
                <w:noProof/>
                <w:kern w:val="2"/>
                <w:sz w:val="24"/>
                <w:szCs w:val="24"/>
                <w14:ligatures w14:val="standardContextual"/>
              </w:rPr>
              <w:tab/>
            </w:r>
            <w:r w:rsidRPr="00361170">
              <w:rPr>
                <w:rStyle w:val="Lienhypertexte"/>
                <w:rFonts w:cstheme="minorHAnsi"/>
                <w:noProof/>
              </w:rPr>
              <w:t>Obligations générales en matière de gestion des déchets</w:t>
            </w:r>
            <w:r>
              <w:rPr>
                <w:noProof/>
                <w:webHidden/>
              </w:rPr>
              <w:tab/>
            </w:r>
            <w:r>
              <w:rPr>
                <w:noProof/>
                <w:webHidden/>
              </w:rPr>
              <w:fldChar w:fldCharType="begin"/>
            </w:r>
            <w:r>
              <w:rPr>
                <w:noProof/>
                <w:webHidden/>
              </w:rPr>
              <w:instrText xml:space="preserve"> PAGEREF _Toc222900596 \h </w:instrText>
            </w:r>
            <w:r>
              <w:rPr>
                <w:noProof/>
                <w:webHidden/>
              </w:rPr>
            </w:r>
            <w:r>
              <w:rPr>
                <w:noProof/>
                <w:webHidden/>
              </w:rPr>
              <w:fldChar w:fldCharType="separate"/>
            </w:r>
            <w:r>
              <w:rPr>
                <w:noProof/>
                <w:webHidden/>
              </w:rPr>
              <w:t>8</w:t>
            </w:r>
            <w:r>
              <w:rPr>
                <w:noProof/>
                <w:webHidden/>
              </w:rPr>
              <w:fldChar w:fldCharType="end"/>
            </w:r>
          </w:hyperlink>
        </w:p>
        <w:p w14:paraId="01E9514B" w14:textId="0D324186" w:rsidR="00301B23" w:rsidRDefault="00301B23">
          <w:pPr>
            <w:pStyle w:val="TM2"/>
            <w:tabs>
              <w:tab w:val="left" w:pos="960"/>
              <w:tab w:val="right" w:leader="dot" w:pos="9060"/>
            </w:tabs>
            <w:rPr>
              <w:rFonts w:cstheme="minorBidi"/>
              <w:noProof/>
              <w:kern w:val="2"/>
              <w:sz w:val="24"/>
              <w:szCs w:val="24"/>
              <w14:ligatures w14:val="standardContextual"/>
            </w:rPr>
          </w:pPr>
          <w:hyperlink w:anchor="_Toc222900597" w:history="1">
            <w:r w:rsidRPr="00361170">
              <w:rPr>
                <w:rStyle w:val="Lienhypertexte"/>
                <w:rFonts w:cstheme="minorHAnsi"/>
                <w:noProof/>
              </w:rPr>
              <w:t>IV-</w:t>
            </w:r>
            <w:r>
              <w:rPr>
                <w:rFonts w:cstheme="minorBidi"/>
                <w:noProof/>
                <w:kern w:val="2"/>
                <w:sz w:val="24"/>
                <w:szCs w:val="24"/>
                <w14:ligatures w14:val="standardContextual"/>
              </w:rPr>
              <w:tab/>
            </w:r>
            <w:r w:rsidRPr="00361170">
              <w:rPr>
                <w:rStyle w:val="Lienhypertexte"/>
                <w:rFonts w:cstheme="minorHAnsi"/>
                <w:noProof/>
              </w:rPr>
              <w:t>Obligations de reprise</w:t>
            </w:r>
            <w:r>
              <w:rPr>
                <w:noProof/>
                <w:webHidden/>
              </w:rPr>
              <w:tab/>
            </w:r>
            <w:r>
              <w:rPr>
                <w:noProof/>
                <w:webHidden/>
              </w:rPr>
              <w:fldChar w:fldCharType="begin"/>
            </w:r>
            <w:r>
              <w:rPr>
                <w:noProof/>
                <w:webHidden/>
              </w:rPr>
              <w:instrText xml:space="preserve"> PAGEREF _Toc222900597 \h </w:instrText>
            </w:r>
            <w:r>
              <w:rPr>
                <w:noProof/>
                <w:webHidden/>
              </w:rPr>
            </w:r>
            <w:r>
              <w:rPr>
                <w:noProof/>
                <w:webHidden/>
              </w:rPr>
              <w:fldChar w:fldCharType="separate"/>
            </w:r>
            <w:r>
              <w:rPr>
                <w:noProof/>
                <w:webHidden/>
              </w:rPr>
              <w:t>8</w:t>
            </w:r>
            <w:r>
              <w:rPr>
                <w:noProof/>
                <w:webHidden/>
              </w:rPr>
              <w:fldChar w:fldCharType="end"/>
            </w:r>
          </w:hyperlink>
        </w:p>
        <w:p w14:paraId="6EE054A7" w14:textId="23BE1AE7" w:rsidR="00301B23" w:rsidRDefault="00301B23">
          <w:pPr>
            <w:pStyle w:val="TM3"/>
            <w:tabs>
              <w:tab w:val="right" w:leader="dot" w:pos="9060"/>
            </w:tabs>
            <w:rPr>
              <w:rFonts w:cstheme="minorBidi"/>
              <w:noProof/>
              <w:kern w:val="2"/>
              <w:sz w:val="24"/>
              <w:szCs w:val="24"/>
              <w14:ligatures w14:val="standardContextual"/>
            </w:rPr>
          </w:pPr>
          <w:hyperlink w:anchor="_Toc222900598" w:history="1">
            <w:r w:rsidRPr="00361170">
              <w:rPr>
                <w:rStyle w:val="Lienhypertexte"/>
                <w:rFonts w:cstheme="minorHAnsi"/>
                <w:noProof/>
              </w:rPr>
              <w:t>A- les dispositifs médicaux (hors cas des dispositifs mis en dépôt)</w:t>
            </w:r>
            <w:r>
              <w:rPr>
                <w:noProof/>
                <w:webHidden/>
              </w:rPr>
              <w:tab/>
            </w:r>
            <w:r>
              <w:rPr>
                <w:noProof/>
                <w:webHidden/>
              </w:rPr>
              <w:fldChar w:fldCharType="begin"/>
            </w:r>
            <w:r>
              <w:rPr>
                <w:noProof/>
                <w:webHidden/>
              </w:rPr>
              <w:instrText xml:space="preserve"> PAGEREF _Toc222900598 \h </w:instrText>
            </w:r>
            <w:r>
              <w:rPr>
                <w:noProof/>
                <w:webHidden/>
              </w:rPr>
            </w:r>
            <w:r>
              <w:rPr>
                <w:noProof/>
                <w:webHidden/>
              </w:rPr>
              <w:fldChar w:fldCharType="separate"/>
            </w:r>
            <w:r>
              <w:rPr>
                <w:noProof/>
                <w:webHidden/>
              </w:rPr>
              <w:t>8</w:t>
            </w:r>
            <w:r>
              <w:rPr>
                <w:noProof/>
                <w:webHidden/>
              </w:rPr>
              <w:fldChar w:fldCharType="end"/>
            </w:r>
          </w:hyperlink>
        </w:p>
        <w:p w14:paraId="2F1C8388" w14:textId="4173FB45" w:rsidR="00301B23" w:rsidRDefault="00301B23">
          <w:pPr>
            <w:pStyle w:val="TM1"/>
            <w:tabs>
              <w:tab w:val="right" w:leader="dot" w:pos="9060"/>
            </w:tabs>
            <w:rPr>
              <w:rFonts w:cstheme="minorBidi"/>
              <w:noProof/>
              <w:kern w:val="2"/>
              <w:sz w:val="24"/>
              <w:szCs w:val="24"/>
              <w14:ligatures w14:val="standardContextual"/>
            </w:rPr>
          </w:pPr>
          <w:hyperlink w:anchor="_Toc222900599" w:history="1">
            <w:r w:rsidRPr="00361170">
              <w:rPr>
                <w:rStyle w:val="Lienhypertexte"/>
                <w:rFonts w:cstheme="minorHAnsi"/>
                <w:b/>
                <w:noProof/>
              </w:rPr>
              <w:t>PARTIE II</w:t>
            </w:r>
            <w:r>
              <w:rPr>
                <w:noProof/>
                <w:webHidden/>
              </w:rPr>
              <w:tab/>
            </w:r>
            <w:r>
              <w:rPr>
                <w:noProof/>
                <w:webHidden/>
              </w:rPr>
              <w:fldChar w:fldCharType="begin"/>
            </w:r>
            <w:r>
              <w:rPr>
                <w:noProof/>
                <w:webHidden/>
              </w:rPr>
              <w:instrText xml:space="preserve"> PAGEREF _Toc222900599 \h </w:instrText>
            </w:r>
            <w:r>
              <w:rPr>
                <w:noProof/>
                <w:webHidden/>
              </w:rPr>
            </w:r>
            <w:r>
              <w:rPr>
                <w:noProof/>
                <w:webHidden/>
              </w:rPr>
              <w:fldChar w:fldCharType="separate"/>
            </w:r>
            <w:r>
              <w:rPr>
                <w:noProof/>
                <w:webHidden/>
              </w:rPr>
              <w:t>9</w:t>
            </w:r>
            <w:r>
              <w:rPr>
                <w:noProof/>
                <w:webHidden/>
              </w:rPr>
              <w:fldChar w:fldCharType="end"/>
            </w:r>
          </w:hyperlink>
        </w:p>
        <w:p w14:paraId="73EEC25C" w14:textId="07A52460" w:rsidR="00301B23" w:rsidRDefault="00301B23">
          <w:pPr>
            <w:pStyle w:val="TM1"/>
            <w:tabs>
              <w:tab w:val="right" w:leader="dot" w:pos="9060"/>
            </w:tabs>
            <w:rPr>
              <w:rFonts w:cstheme="minorBidi"/>
              <w:noProof/>
              <w:kern w:val="2"/>
              <w:sz w:val="24"/>
              <w:szCs w:val="24"/>
              <w14:ligatures w14:val="standardContextual"/>
            </w:rPr>
          </w:pPr>
          <w:hyperlink w:anchor="_Toc222900600" w:history="1">
            <w:r w:rsidRPr="00361170">
              <w:rPr>
                <w:rStyle w:val="Lienhypertexte"/>
                <w:rFonts w:cstheme="minorHAnsi"/>
                <w:b/>
                <w:noProof/>
              </w:rPr>
              <w:t>LE VOLET SOCIAL</w:t>
            </w:r>
            <w:r>
              <w:rPr>
                <w:noProof/>
                <w:webHidden/>
              </w:rPr>
              <w:tab/>
            </w:r>
            <w:r>
              <w:rPr>
                <w:noProof/>
                <w:webHidden/>
              </w:rPr>
              <w:fldChar w:fldCharType="begin"/>
            </w:r>
            <w:r>
              <w:rPr>
                <w:noProof/>
                <w:webHidden/>
              </w:rPr>
              <w:instrText xml:space="preserve"> PAGEREF _Toc222900600 \h </w:instrText>
            </w:r>
            <w:r>
              <w:rPr>
                <w:noProof/>
                <w:webHidden/>
              </w:rPr>
            </w:r>
            <w:r>
              <w:rPr>
                <w:noProof/>
                <w:webHidden/>
              </w:rPr>
              <w:fldChar w:fldCharType="separate"/>
            </w:r>
            <w:r>
              <w:rPr>
                <w:noProof/>
                <w:webHidden/>
              </w:rPr>
              <w:t>9</w:t>
            </w:r>
            <w:r>
              <w:rPr>
                <w:noProof/>
                <w:webHidden/>
              </w:rPr>
              <w:fldChar w:fldCharType="end"/>
            </w:r>
          </w:hyperlink>
        </w:p>
        <w:p w14:paraId="29A327FA" w14:textId="3F86F636" w:rsidR="00301B23" w:rsidRDefault="00301B23">
          <w:pPr>
            <w:pStyle w:val="TM2"/>
            <w:tabs>
              <w:tab w:val="left" w:pos="720"/>
              <w:tab w:val="right" w:leader="dot" w:pos="9060"/>
            </w:tabs>
            <w:rPr>
              <w:rFonts w:cstheme="minorBidi"/>
              <w:noProof/>
              <w:kern w:val="2"/>
              <w:sz w:val="24"/>
              <w:szCs w:val="24"/>
              <w14:ligatures w14:val="standardContextual"/>
            </w:rPr>
          </w:pPr>
          <w:hyperlink w:anchor="_Toc222900601" w:history="1">
            <w:r w:rsidRPr="00361170">
              <w:rPr>
                <w:rStyle w:val="Lienhypertexte"/>
                <w:rFonts w:cstheme="minorHAnsi"/>
                <w:noProof/>
              </w:rPr>
              <w:t>I-</w:t>
            </w:r>
            <w:r>
              <w:rPr>
                <w:rFonts w:cstheme="minorBidi"/>
                <w:noProof/>
                <w:kern w:val="2"/>
                <w:sz w:val="24"/>
                <w:szCs w:val="24"/>
                <w14:ligatures w14:val="standardContextual"/>
              </w:rPr>
              <w:tab/>
            </w:r>
            <w:r w:rsidRPr="00361170">
              <w:rPr>
                <w:rStyle w:val="Lienhypertexte"/>
                <w:rFonts w:cstheme="minorHAnsi"/>
                <w:noProof/>
              </w:rPr>
              <w:t>Heures d’insertion</w:t>
            </w:r>
            <w:r>
              <w:rPr>
                <w:noProof/>
                <w:webHidden/>
              </w:rPr>
              <w:tab/>
            </w:r>
            <w:r>
              <w:rPr>
                <w:noProof/>
                <w:webHidden/>
              </w:rPr>
              <w:fldChar w:fldCharType="begin"/>
            </w:r>
            <w:r>
              <w:rPr>
                <w:noProof/>
                <w:webHidden/>
              </w:rPr>
              <w:instrText xml:space="preserve"> PAGEREF _Toc222900601 \h </w:instrText>
            </w:r>
            <w:r>
              <w:rPr>
                <w:noProof/>
                <w:webHidden/>
              </w:rPr>
            </w:r>
            <w:r>
              <w:rPr>
                <w:noProof/>
                <w:webHidden/>
              </w:rPr>
              <w:fldChar w:fldCharType="separate"/>
            </w:r>
            <w:r>
              <w:rPr>
                <w:noProof/>
                <w:webHidden/>
              </w:rPr>
              <w:t>10</w:t>
            </w:r>
            <w:r>
              <w:rPr>
                <w:noProof/>
                <w:webHidden/>
              </w:rPr>
              <w:fldChar w:fldCharType="end"/>
            </w:r>
          </w:hyperlink>
        </w:p>
        <w:p w14:paraId="734172AA" w14:textId="7829C50E" w:rsidR="00301B23" w:rsidRDefault="00301B23">
          <w:pPr>
            <w:pStyle w:val="TM2"/>
            <w:tabs>
              <w:tab w:val="left" w:pos="720"/>
              <w:tab w:val="right" w:leader="dot" w:pos="9060"/>
            </w:tabs>
            <w:rPr>
              <w:rFonts w:cstheme="minorBidi"/>
              <w:noProof/>
              <w:kern w:val="2"/>
              <w:sz w:val="24"/>
              <w:szCs w:val="24"/>
              <w14:ligatures w14:val="standardContextual"/>
            </w:rPr>
          </w:pPr>
          <w:hyperlink w:anchor="_Toc222900602" w:history="1">
            <w:r w:rsidRPr="00361170">
              <w:rPr>
                <w:rStyle w:val="Lienhypertexte"/>
                <w:rFonts w:cstheme="minorHAnsi"/>
                <w:noProof/>
              </w:rPr>
              <w:t>II-</w:t>
            </w:r>
            <w:r>
              <w:rPr>
                <w:rFonts w:cstheme="minorBidi"/>
                <w:noProof/>
                <w:kern w:val="2"/>
                <w:sz w:val="24"/>
                <w:szCs w:val="24"/>
                <w14:ligatures w14:val="standardContextual"/>
              </w:rPr>
              <w:tab/>
            </w:r>
            <w:r w:rsidRPr="00361170">
              <w:rPr>
                <w:rStyle w:val="Lienhypertexte"/>
                <w:rFonts w:cstheme="minorHAnsi"/>
                <w:noProof/>
              </w:rPr>
              <w:t>Lutte contre les discriminations et engagement en faveur de l’égalité professionnelle</w:t>
            </w:r>
            <w:r>
              <w:rPr>
                <w:noProof/>
                <w:webHidden/>
              </w:rPr>
              <w:tab/>
            </w:r>
            <w:r>
              <w:rPr>
                <w:noProof/>
                <w:webHidden/>
              </w:rPr>
              <w:fldChar w:fldCharType="begin"/>
            </w:r>
            <w:r>
              <w:rPr>
                <w:noProof/>
                <w:webHidden/>
              </w:rPr>
              <w:instrText xml:space="preserve"> PAGEREF _Toc222900602 \h </w:instrText>
            </w:r>
            <w:r>
              <w:rPr>
                <w:noProof/>
                <w:webHidden/>
              </w:rPr>
            </w:r>
            <w:r>
              <w:rPr>
                <w:noProof/>
                <w:webHidden/>
              </w:rPr>
              <w:fldChar w:fldCharType="separate"/>
            </w:r>
            <w:r>
              <w:rPr>
                <w:noProof/>
                <w:webHidden/>
              </w:rPr>
              <w:t>10</w:t>
            </w:r>
            <w:r>
              <w:rPr>
                <w:noProof/>
                <w:webHidden/>
              </w:rPr>
              <w:fldChar w:fldCharType="end"/>
            </w:r>
          </w:hyperlink>
        </w:p>
        <w:p w14:paraId="30D8E396" w14:textId="358C7B8E" w:rsidR="00301B23" w:rsidRDefault="00301B23">
          <w:pPr>
            <w:pStyle w:val="TM3"/>
            <w:tabs>
              <w:tab w:val="right" w:leader="dot" w:pos="9060"/>
            </w:tabs>
            <w:rPr>
              <w:rFonts w:cstheme="minorBidi"/>
              <w:noProof/>
              <w:kern w:val="2"/>
              <w:sz w:val="24"/>
              <w:szCs w:val="24"/>
              <w14:ligatures w14:val="standardContextual"/>
            </w:rPr>
          </w:pPr>
          <w:hyperlink w:anchor="_Toc222900603" w:history="1">
            <w:r w:rsidRPr="00361170">
              <w:rPr>
                <w:rStyle w:val="Lienhypertexte"/>
                <w:rFonts w:ascii="Calibri" w:hAnsi="Calibri" w:cs="Calibri"/>
                <w:noProof/>
              </w:rPr>
              <w:t>A-Prévention et traitement des agissements sexistes et du harcèlement sexuel</w:t>
            </w:r>
            <w:r>
              <w:rPr>
                <w:noProof/>
                <w:webHidden/>
              </w:rPr>
              <w:tab/>
            </w:r>
            <w:r>
              <w:rPr>
                <w:noProof/>
                <w:webHidden/>
              </w:rPr>
              <w:fldChar w:fldCharType="begin"/>
            </w:r>
            <w:r>
              <w:rPr>
                <w:noProof/>
                <w:webHidden/>
              </w:rPr>
              <w:instrText xml:space="preserve"> PAGEREF _Toc222900603 \h </w:instrText>
            </w:r>
            <w:r>
              <w:rPr>
                <w:noProof/>
                <w:webHidden/>
              </w:rPr>
            </w:r>
            <w:r>
              <w:rPr>
                <w:noProof/>
                <w:webHidden/>
              </w:rPr>
              <w:fldChar w:fldCharType="separate"/>
            </w:r>
            <w:r>
              <w:rPr>
                <w:noProof/>
                <w:webHidden/>
              </w:rPr>
              <w:t>11</w:t>
            </w:r>
            <w:r>
              <w:rPr>
                <w:noProof/>
                <w:webHidden/>
              </w:rPr>
              <w:fldChar w:fldCharType="end"/>
            </w:r>
          </w:hyperlink>
        </w:p>
        <w:p w14:paraId="0B9FC6D7" w14:textId="1C3258D2" w:rsidR="00301B23" w:rsidRDefault="00301B23">
          <w:pPr>
            <w:pStyle w:val="TM3"/>
            <w:tabs>
              <w:tab w:val="right" w:leader="dot" w:pos="9060"/>
            </w:tabs>
            <w:rPr>
              <w:rFonts w:cstheme="minorBidi"/>
              <w:noProof/>
              <w:kern w:val="2"/>
              <w:sz w:val="24"/>
              <w:szCs w:val="24"/>
              <w14:ligatures w14:val="standardContextual"/>
            </w:rPr>
          </w:pPr>
          <w:hyperlink w:anchor="_Toc222900604" w:history="1">
            <w:r w:rsidRPr="00361170">
              <w:rPr>
                <w:rStyle w:val="Lienhypertexte"/>
                <w:rFonts w:ascii="Calibri" w:hAnsi="Calibri" w:cs="Calibri"/>
                <w:noProof/>
              </w:rPr>
              <w:t>B – Obligations en matière d ’égalité et de mixité dans les conditions de travail du personnel affecté à la réalisation du contrat :</w:t>
            </w:r>
            <w:r>
              <w:rPr>
                <w:noProof/>
                <w:webHidden/>
              </w:rPr>
              <w:tab/>
            </w:r>
            <w:r>
              <w:rPr>
                <w:noProof/>
                <w:webHidden/>
              </w:rPr>
              <w:fldChar w:fldCharType="begin"/>
            </w:r>
            <w:r>
              <w:rPr>
                <w:noProof/>
                <w:webHidden/>
              </w:rPr>
              <w:instrText xml:space="preserve"> PAGEREF _Toc222900604 \h </w:instrText>
            </w:r>
            <w:r>
              <w:rPr>
                <w:noProof/>
                <w:webHidden/>
              </w:rPr>
            </w:r>
            <w:r>
              <w:rPr>
                <w:noProof/>
                <w:webHidden/>
              </w:rPr>
              <w:fldChar w:fldCharType="separate"/>
            </w:r>
            <w:r>
              <w:rPr>
                <w:noProof/>
                <w:webHidden/>
              </w:rPr>
              <w:t>11</w:t>
            </w:r>
            <w:r>
              <w:rPr>
                <w:noProof/>
                <w:webHidden/>
              </w:rPr>
              <w:fldChar w:fldCharType="end"/>
            </w:r>
          </w:hyperlink>
        </w:p>
        <w:p w14:paraId="0B9BD550" w14:textId="0ECD9B87" w:rsidR="00301B23" w:rsidRDefault="00301B23">
          <w:pPr>
            <w:pStyle w:val="TM3"/>
            <w:tabs>
              <w:tab w:val="right" w:leader="dot" w:pos="9060"/>
            </w:tabs>
            <w:rPr>
              <w:rFonts w:cstheme="minorBidi"/>
              <w:noProof/>
              <w:kern w:val="2"/>
              <w:sz w:val="24"/>
              <w:szCs w:val="24"/>
              <w14:ligatures w14:val="standardContextual"/>
            </w:rPr>
          </w:pPr>
          <w:hyperlink w:anchor="_Toc222900605" w:history="1">
            <w:r w:rsidRPr="00361170">
              <w:rPr>
                <w:rStyle w:val="Lienhypertexte"/>
                <w:rFonts w:ascii="Calibri" w:hAnsi="Calibri" w:cs="Calibri"/>
                <w:noProof/>
              </w:rPr>
              <w:t>C – Obligations en matière de lutte contre toutes les formes de discriminations :</w:t>
            </w:r>
            <w:r>
              <w:rPr>
                <w:noProof/>
                <w:webHidden/>
              </w:rPr>
              <w:tab/>
            </w:r>
            <w:r>
              <w:rPr>
                <w:noProof/>
                <w:webHidden/>
              </w:rPr>
              <w:fldChar w:fldCharType="begin"/>
            </w:r>
            <w:r>
              <w:rPr>
                <w:noProof/>
                <w:webHidden/>
              </w:rPr>
              <w:instrText xml:space="preserve"> PAGEREF _Toc222900605 \h </w:instrText>
            </w:r>
            <w:r>
              <w:rPr>
                <w:noProof/>
                <w:webHidden/>
              </w:rPr>
            </w:r>
            <w:r>
              <w:rPr>
                <w:noProof/>
                <w:webHidden/>
              </w:rPr>
              <w:fldChar w:fldCharType="separate"/>
            </w:r>
            <w:r>
              <w:rPr>
                <w:noProof/>
                <w:webHidden/>
              </w:rPr>
              <w:t>11</w:t>
            </w:r>
            <w:r>
              <w:rPr>
                <w:noProof/>
                <w:webHidden/>
              </w:rPr>
              <w:fldChar w:fldCharType="end"/>
            </w:r>
          </w:hyperlink>
        </w:p>
        <w:p w14:paraId="7453222B" w14:textId="3C58334D" w:rsidR="00301B23" w:rsidRDefault="00301B23">
          <w:pPr>
            <w:pStyle w:val="TM2"/>
            <w:tabs>
              <w:tab w:val="left" w:pos="720"/>
              <w:tab w:val="right" w:leader="dot" w:pos="9060"/>
            </w:tabs>
            <w:rPr>
              <w:rFonts w:cstheme="minorBidi"/>
              <w:noProof/>
              <w:kern w:val="2"/>
              <w:sz w:val="24"/>
              <w:szCs w:val="24"/>
              <w14:ligatures w14:val="standardContextual"/>
            </w:rPr>
          </w:pPr>
          <w:hyperlink w:anchor="_Toc222900606" w:history="1">
            <w:r w:rsidRPr="00361170">
              <w:rPr>
                <w:rStyle w:val="Lienhypertexte"/>
                <w:rFonts w:ascii="Calibri" w:hAnsi="Calibri" w:cs="Calibri"/>
                <w:noProof/>
              </w:rPr>
              <w:t>III-</w:t>
            </w:r>
            <w:r>
              <w:rPr>
                <w:rFonts w:cstheme="minorBidi"/>
                <w:noProof/>
                <w:kern w:val="2"/>
                <w:sz w:val="24"/>
                <w:szCs w:val="24"/>
                <w14:ligatures w14:val="standardContextual"/>
              </w:rPr>
              <w:tab/>
            </w:r>
            <w:r w:rsidRPr="00361170">
              <w:rPr>
                <w:rStyle w:val="Lienhypertexte"/>
                <w:rFonts w:ascii="Calibri" w:hAnsi="Calibri" w:cs="Calibri"/>
                <w:noProof/>
              </w:rPr>
              <w:t>Commerce équitable, respect des exigences éthiques et devoir de vigilance</w:t>
            </w:r>
            <w:r>
              <w:rPr>
                <w:noProof/>
                <w:webHidden/>
              </w:rPr>
              <w:tab/>
            </w:r>
            <w:r>
              <w:rPr>
                <w:noProof/>
                <w:webHidden/>
              </w:rPr>
              <w:fldChar w:fldCharType="begin"/>
            </w:r>
            <w:r>
              <w:rPr>
                <w:noProof/>
                <w:webHidden/>
              </w:rPr>
              <w:instrText xml:space="preserve"> PAGEREF _Toc222900606 \h </w:instrText>
            </w:r>
            <w:r>
              <w:rPr>
                <w:noProof/>
                <w:webHidden/>
              </w:rPr>
            </w:r>
            <w:r>
              <w:rPr>
                <w:noProof/>
                <w:webHidden/>
              </w:rPr>
              <w:fldChar w:fldCharType="separate"/>
            </w:r>
            <w:r>
              <w:rPr>
                <w:noProof/>
                <w:webHidden/>
              </w:rPr>
              <w:t>12</w:t>
            </w:r>
            <w:r>
              <w:rPr>
                <w:noProof/>
                <w:webHidden/>
              </w:rPr>
              <w:fldChar w:fldCharType="end"/>
            </w:r>
          </w:hyperlink>
        </w:p>
        <w:p w14:paraId="2E63DB4B" w14:textId="3452D018" w:rsidR="00211FBB" w:rsidRPr="00734E1D" w:rsidRDefault="00211FBB" w:rsidP="00734E1D">
          <w:pPr>
            <w:jc w:val="both"/>
            <w:rPr>
              <w:rFonts w:cstheme="minorHAnsi"/>
            </w:rPr>
          </w:pPr>
          <w:r w:rsidRPr="00734E1D">
            <w:rPr>
              <w:rFonts w:cstheme="minorHAnsi"/>
              <w:b/>
              <w:bCs/>
            </w:rPr>
            <w:fldChar w:fldCharType="end"/>
          </w:r>
        </w:p>
      </w:sdtContent>
    </w:sdt>
    <w:p w14:paraId="1261CAA7" w14:textId="6A3C66E9" w:rsidR="00211FBB" w:rsidRPr="00734E1D" w:rsidRDefault="00211FBB" w:rsidP="00734E1D">
      <w:pPr>
        <w:jc w:val="both"/>
        <w:rPr>
          <w:rFonts w:cstheme="minorHAnsi"/>
          <w:b/>
          <w:color w:val="70AD47" w:themeColor="accent6"/>
        </w:rPr>
      </w:pPr>
    </w:p>
    <w:p w14:paraId="2A44D675" w14:textId="31B77AB1" w:rsidR="00211FBB" w:rsidRPr="00734E1D" w:rsidRDefault="00211FBB" w:rsidP="00734E1D">
      <w:pPr>
        <w:jc w:val="both"/>
        <w:rPr>
          <w:rFonts w:cstheme="minorHAnsi"/>
          <w:b/>
          <w:color w:val="70AD47" w:themeColor="accent6"/>
        </w:rPr>
      </w:pPr>
      <w:r w:rsidRPr="00734E1D">
        <w:rPr>
          <w:rFonts w:cstheme="minorHAnsi"/>
          <w:b/>
          <w:color w:val="70AD47" w:themeColor="accent6"/>
        </w:rPr>
        <w:br w:type="page"/>
      </w:r>
    </w:p>
    <w:p w14:paraId="66EAA241" w14:textId="1B17C1C1" w:rsidR="00211FBB" w:rsidRPr="00734E1D" w:rsidRDefault="00211FBB" w:rsidP="00734E1D">
      <w:pPr>
        <w:jc w:val="both"/>
        <w:rPr>
          <w:rFonts w:cstheme="minorHAnsi"/>
          <w:b/>
          <w:color w:val="70AD47" w:themeColor="accent6"/>
        </w:rPr>
      </w:pPr>
    </w:p>
    <w:p w14:paraId="566DE160" w14:textId="257E1FCF" w:rsidR="00C769D6" w:rsidRPr="00734E1D" w:rsidRDefault="00C769D6" w:rsidP="00734E1D">
      <w:pPr>
        <w:jc w:val="both"/>
        <w:rPr>
          <w:rFonts w:eastAsiaTheme="majorEastAsia" w:cstheme="minorHAnsi"/>
          <w:color w:val="70AD47" w:themeColor="accent6"/>
        </w:rPr>
      </w:pPr>
      <w:bookmarkStart w:id="0" w:name="_Toc415222000"/>
      <w:bookmarkStart w:id="1" w:name="_Toc153907347"/>
    </w:p>
    <w:p w14:paraId="0D6DE9F6" w14:textId="77777777" w:rsidR="00065349" w:rsidRPr="00734E1D" w:rsidRDefault="00065349" w:rsidP="00734E1D">
      <w:pPr>
        <w:pStyle w:val="Titre1"/>
        <w:jc w:val="both"/>
        <w:rPr>
          <w:rFonts w:asciiTheme="minorHAnsi" w:hAnsiTheme="minorHAnsi" w:cstheme="minorHAnsi"/>
          <w:b/>
          <w:color w:val="70AD47" w:themeColor="accent6"/>
          <w:sz w:val="22"/>
          <w:szCs w:val="22"/>
        </w:rPr>
      </w:pPr>
    </w:p>
    <w:p w14:paraId="0B9C1020" w14:textId="58924252" w:rsidR="00065349" w:rsidRPr="00734E1D" w:rsidRDefault="00065349" w:rsidP="00734E1D">
      <w:pPr>
        <w:pStyle w:val="Titre1"/>
        <w:jc w:val="center"/>
        <w:rPr>
          <w:rFonts w:asciiTheme="minorHAnsi" w:hAnsiTheme="minorHAnsi" w:cstheme="minorHAnsi"/>
          <w:b/>
          <w:color w:val="70AD47" w:themeColor="accent6"/>
          <w:sz w:val="44"/>
          <w:szCs w:val="22"/>
          <w:u w:val="single"/>
        </w:rPr>
      </w:pPr>
      <w:bookmarkStart w:id="2" w:name="_Toc222900587"/>
      <w:r w:rsidRPr="00734E1D">
        <w:rPr>
          <w:rFonts w:asciiTheme="minorHAnsi" w:hAnsiTheme="minorHAnsi" w:cstheme="minorHAnsi"/>
          <w:b/>
          <w:color w:val="70AD47" w:themeColor="accent6"/>
          <w:sz w:val="44"/>
          <w:szCs w:val="22"/>
          <w:u w:val="single"/>
        </w:rPr>
        <w:t>PARTIE I</w:t>
      </w:r>
      <w:bookmarkEnd w:id="2"/>
    </w:p>
    <w:p w14:paraId="56E3DC1B" w14:textId="17D6197A" w:rsidR="00975D27" w:rsidRPr="00734E1D" w:rsidRDefault="00C57CE9" w:rsidP="00734E1D">
      <w:pPr>
        <w:pStyle w:val="Titre1"/>
        <w:jc w:val="center"/>
        <w:rPr>
          <w:rFonts w:asciiTheme="minorHAnsi" w:hAnsiTheme="minorHAnsi" w:cstheme="minorHAnsi"/>
          <w:b/>
          <w:color w:val="70AD47" w:themeColor="accent6"/>
          <w:sz w:val="44"/>
          <w:szCs w:val="22"/>
          <w:u w:val="single"/>
        </w:rPr>
      </w:pPr>
      <w:bookmarkStart w:id="3" w:name="_Toc222900588"/>
      <w:r w:rsidRPr="00734E1D">
        <w:rPr>
          <w:rFonts w:asciiTheme="minorHAnsi" w:hAnsiTheme="minorHAnsi" w:cstheme="minorHAnsi"/>
          <w:b/>
          <w:color w:val="70AD47" w:themeColor="accent6"/>
          <w:sz w:val="44"/>
          <w:szCs w:val="22"/>
          <w:u w:val="single"/>
        </w:rPr>
        <w:t xml:space="preserve">LE VOLET </w:t>
      </w:r>
      <w:r w:rsidR="00AF63A8" w:rsidRPr="00734E1D">
        <w:rPr>
          <w:rFonts w:asciiTheme="minorHAnsi" w:hAnsiTheme="minorHAnsi" w:cstheme="minorHAnsi"/>
          <w:b/>
          <w:color w:val="70AD47" w:themeColor="accent6"/>
          <w:sz w:val="44"/>
          <w:szCs w:val="22"/>
          <w:u w:val="single"/>
        </w:rPr>
        <w:t>ENVIRONNEM</w:t>
      </w:r>
      <w:r w:rsidR="0051474B" w:rsidRPr="00734E1D">
        <w:rPr>
          <w:rFonts w:asciiTheme="minorHAnsi" w:hAnsiTheme="minorHAnsi" w:cstheme="minorHAnsi"/>
          <w:b/>
          <w:color w:val="70AD47" w:themeColor="accent6"/>
          <w:sz w:val="44"/>
          <w:szCs w:val="22"/>
          <w:u w:val="single"/>
        </w:rPr>
        <w:t>E</w:t>
      </w:r>
      <w:r w:rsidR="00AF63A8" w:rsidRPr="00734E1D">
        <w:rPr>
          <w:rFonts w:asciiTheme="minorHAnsi" w:hAnsiTheme="minorHAnsi" w:cstheme="minorHAnsi"/>
          <w:b/>
          <w:color w:val="70AD47" w:themeColor="accent6"/>
          <w:sz w:val="44"/>
          <w:szCs w:val="22"/>
          <w:u w:val="single"/>
        </w:rPr>
        <w:t>NTAL</w:t>
      </w:r>
      <w:bookmarkEnd w:id="3"/>
    </w:p>
    <w:p w14:paraId="3C28B452" w14:textId="48A52F70" w:rsidR="00975D27" w:rsidRPr="00734E1D" w:rsidRDefault="00975D27" w:rsidP="00734E1D">
      <w:pPr>
        <w:pStyle w:val="Titre1"/>
        <w:numPr>
          <w:ilvl w:val="1"/>
          <w:numId w:val="0"/>
        </w:numPr>
        <w:tabs>
          <w:tab w:val="num" w:pos="1362"/>
        </w:tabs>
        <w:autoSpaceDE w:val="0"/>
        <w:autoSpaceDN w:val="0"/>
        <w:adjustRightInd w:val="0"/>
        <w:spacing w:before="0"/>
        <w:ind w:left="625" w:hanging="57"/>
        <w:jc w:val="both"/>
        <w:rPr>
          <w:rFonts w:asciiTheme="minorHAnsi" w:hAnsiTheme="minorHAnsi" w:cstheme="minorHAnsi"/>
          <w:sz w:val="22"/>
          <w:szCs w:val="22"/>
        </w:rPr>
      </w:pPr>
    </w:p>
    <w:p w14:paraId="71076CD5" w14:textId="0419B5C1" w:rsidR="00714E8A" w:rsidRPr="00734E1D" w:rsidRDefault="00FD608C" w:rsidP="00734E1D">
      <w:pPr>
        <w:jc w:val="both"/>
        <w:rPr>
          <w:rFonts w:cstheme="minorHAnsi"/>
        </w:rPr>
      </w:pPr>
      <w:r w:rsidRPr="00734E1D">
        <w:rPr>
          <w:rFonts w:cstheme="minorHAnsi"/>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3">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sidRPr="00734E1D">
        <w:rPr>
          <w:rFonts w:cstheme="minorHAnsi"/>
        </w:rPr>
        <w:br w:type="page"/>
      </w:r>
    </w:p>
    <w:p w14:paraId="4A45147C" w14:textId="77777777" w:rsidR="00734E1D" w:rsidRPr="001A217F" w:rsidRDefault="00734E1D" w:rsidP="00734E1D">
      <w:pPr>
        <w:pStyle w:val="Titre2"/>
        <w:numPr>
          <w:ilvl w:val="0"/>
          <w:numId w:val="8"/>
        </w:numPr>
        <w:jc w:val="both"/>
        <w:rPr>
          <w:rFonts w:asciiTheme="minorHAnsi" w:hAnsiTheme="minorHAnsi" w:cstheme="minorHAnsi"/>
          <w:sz w:val="20"/>
          <w:szCs w:val="20"/>
          <w:u w:val="single"/>
        </w:rPr>
      </w:pPr>
      <w:bookmarkStart w:id="4" w:name="_Toc199226044"/>
      <w:bookmarkStart w:id="5" w:name="_Toc415222001"/>
      <w:bookmarkStart w:id="6" w:name="_Toc153907354"/>
      <w:bookmarkStart w:id="7" w:name="_Toc222900589"/>
      <w:bookmarkEnd w:id="0"/>
      <w:bookmarkEnd w:id="1"/>
      <w:r w:rsidRPr="001A217F">
        <w:rPr>
          <w:rFonts w:asciiTheme="minorHAnsi" w:hAnsiTheme="minorHAnsi" w:cstheme="minorHAnsi"/>
          <w:noProof/>
          <w:sz w:val="20"/>
          <w:szCs w:val="20"/>
          <w:lang w:eastAsia="fr-FR"/>
        </w:rPr>
        <w:lastRenderedPageBreak/>
        <w:drawing>
          <wp:anchor distT="0" distB="0" distL="114300" distR="114300" simplePos="0" relativeHeight="251676672" behindDoc="1" locked="0" layoutInCell="1" allowOverlap="1" wp14:anchorId="6D728CF6" wp14:editId="5E96AEA1">
            <wp:simplePos x="0" y="0"/>
            <wp:positionH relativeFrom="column">
              <wp:posOffset>5085080</wp:posOffset>
            </wp:positionH>
            <wp:positionV relativeFrom="paragraph">
              <wp:posOffset>10795</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r w:rsidRPr="001A217F">
        <w:rPr>
          <w:rFonts w:asciiTheme="minorHAnsi" w:hAnsiTheme="minorHAnsi" w:cstheme="minorHAnsi"/>
          <w:sz w:val="20"/>
          <w:szCs w:val="20"/>
          <w:u w:val="single"/>
        </w:rPr>
        <w:t>Les obligations en matière d’emballages</w:t>
      </w:r>
      <w:bookmarkEnd w:id="4"/>
      <w:bookmarkEnd w:id="7"/>
    </w:p>
    <w:p w14:paraId="572FB9B4" w14:textId="77777777" w:rsidR="00734E1D" w:rsidRPr="001A217F" w:rsidRDefault="00734E1D" w:rsidP="00734E1D">
      <w:pPr>
        <w:rPr>
          <w:rFonts w:cstheme="minorHAnsi"/>
          <w:sz w:val="20"/>
          <w:szCs w:val="20"/>
        </w:rPr>
      </w:pPr>
    </w:p>
    <w:p w14:paraId="5CF4145E" w14:textId="77777777" w:rsidR="00734E1D" w:rsidRPr="001A217F" w:rsidRDefault="00734E1D" w:rsidP="00734E1D">
      <w:pPr>
        <w:pStyle w:val="NormalWeb"/>
        <w:tabs>
          <w:tab w:val="left" w:pos="9070"/>
        </w:tabs>
        <w:spacing w:after="0"/>
        <w:jc w:val="both"/>
        <w:rPr>
          <w:rFonts w:asciiTheme="minorHAnsi" w:hAnsiTheme="minorHAnsi" w:cstheme="minorHAnsi"/>
          <w:b/>
          <w:sz w:val="20"/>
          <w:szCs w:val="20"/>
          <w:u w:val="single"/>
        </w:rPr>
      </w:pPr>
      <w:r w:rsidRPr="001A217F">
        <w:rPr>
          <w:rFonts w:asciiTheme="minorHAnsi" w:hAnsiTheme="minorHAnsi" w:cstheme="minorHAnsi"/>
          <w:b/>
          <w:sz w:val="20"/>
          <w:szCs w:val="20"/>
          <w:u w:val="single"/>
        </w:rPr>
        <w:t>TERMINOLOGIE « EMBALLAGES »</w:t>
      </w:r>
    </w:p>
    <w:p w14:paraId="1ABE3C28" w14:textId="77777777" w:rsidR="00734E1D" w:rsidRPr="001A217F" w:rsidRDefault="00734E1D" w:rsidP="00734E1D">
      <w:pPr>
        <w:pStyle w:val="NormalWeb"/>
        <w:tabs>
          <w:tab w:val="left" w:pos="9070"/>
        </w:tabs>
        <w:spacing w:after="0"/>
        <w:jc w:val="both"/>
        <w:rPr>
          <w:rFonts w:asciiTheme="minorHAnsi" w:hAnsiTheme="minorHAnsi" w:cstheme="minorHAnsi"/>
          <w:b/>
          <w:sz w:val="20"/>
          <w:szCs w:val="20"/>
          <w:u w:val="single"/>
        </w:rPr>
      </w:pPr>
    </w:p>
    <w:p w14:paraId="0F16947D"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Les produits subissent trois niveaux d'emballage :</w:t>
      </w:r>
    </w:p>
    <w:p w14:paraId="704B3D99"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p>
    <w:p w14:paraId="11870DA5" w14:textId="77777777" w:rsidR="00734E1D" w:rsidRPr="001A217F" w:rsidRDefault="00734E1D" w:rsidP="00734E1D">
      <w:pPr>
        <w:pStyle w:val="NormalWeb"/>
        <w:numPr>
          <w:ilvl w:val="0"/>
          <w:numId w:val="27"/>
        </w:numPr>
        <w:tabs>
          <w:tab w:val="left" w:pos="9070"/>
        </w:tabs>
        <w:spacing w:after="0"/>
        <w:jc w:val="both"/>
        <w:rPr>
          <w:rFonts w:asciiTheme="minorHAnsi" w:hAnsiTheme="minorHAnsi" w:cstheme="minorHAnsi"/>
          <w:sz w:val="20"/>
          <w:szCs w:val="20"/>
        </w:rPr>
      </w:pPr>
      <w:r w:rsidRPr="001A217F">
        <w:rPr>
          <w:rFonts w:asciiTheme="minorHAnsi" w:hAnsiTheme="minorHAnsi" w:cstheme="minorHAnsi"/>
          <w:b/>
          <w:sz w:val="20"/>
          <w:szCs w:val="20"/>
          <w:u w:val="single"/>
        </w:rPr>
        <w:t>Emballage primaire</w:t>
      </w:r>
      <w:r w:rsidRPr="001A217F">
        <w:rPr>
          <w:rFonts w:asciiTheme="minorHAnsi" w:hAnsiTheme="minorHAnsi" w:cstheme="minorHAnsi"/>
          <w:sz w:val="20"/>
          <w:szCs w:val="20"/>
        </w:rPr>
        <w:t> : c'est l'enveloppe matérielle au contact direct du produit, qu'on appelle aussi le "conditionnement".</w:t>
      </w:r>
    </w:p>
    <w:p w14:paraId="05233E8C" w14:textId="77777777" w:rsidR="00734E1D" w:rsidRPr="001A217F" w:rsidRDefault="00734E1D" w:rsidP="00734E1D">
      <w:pPr>
        <w:pStyle w:val="NormalWeb"/>
        <w:numPr>
          <w:ilvl w:val="0"/>
          <w:numId w:val="27"/>
        </w:numPr>
        <w:tabs>
          <w:tab w:val="left" w:pos="9070"/>
        </w:tabs>
        <w:spacing w:after="0"/>
        <w:jc w:val="both"/>
        <w:rPr>
          <w:rFonts w:asciiTheme="minorHAnsi" w:hAnsiTheme="minorHAnsi" w:cstheme="minorHAnsi"/>
          <w:sz w:val="20"/>
          <w:szCs w:val="20"/>
        </w:rPr>
      </w:pPr>
      <w:r w:rsidRPr="001A217F">
        <w:rPr>
          <w:rFonts w:asciiTheme="minorHAnsi" w:hAnsiTheme="minorHAnsi" w:cstheme="minorHAnsi"/>
          <w:b/>
          <w:sz w:val="20"/>
          <w:szCs w:val="20"/>
          <w:u w:val="single"/>
        </w:rPr>
        <w:t>Emballage secondaire</w:t>
      </w:r>
      <w:r w:rsidRPr="001A217F">
        <w:rPr>
          <w:rFonts w:asciiTheme="minorHAnsi" w:hAnsiTheme="minorHAnsi" w:cstheme="minorHAnsi"/>
          <w:sz w:val="20"/>
          <w:szCs w:val="20"/>
        </w:rPr>
        <w:t xml:space="preserve"> : il entoure l’emballage primaire (le conditionnement, qu'on appelle aussi "emballage"). Il a un rôle physique, il permet de regrouper les produits en unité d'achat et c'est un média d'information. </w:t>
      </w:r>
    </w:p>
    <w:p w14:paraId="34233EE7" w14:textId="77777777" w:rsidR="00734E1D" w:rsidRPr="001A217F" w:rsidRDefault="00734E1D" w:rsidP="00734E1D">
      <w:pPr>
        <w:pStyle w:val="NormalWeb"/>
        <w:tabs>
          <w:tab w:val="left" w:pos="9070"/>
        </w:tabs>
        <w:spacing w:after="0"/>
        <w:ind w:left="720"/>
        <w:jc w:val="both"/>
        <w:rPr>
          <w:rFonts w:asciiTheme="minorHAnsi" w:hAnsiTheme="minorHAnsi" w:cstheme="minorHAnsi"/>
          <w:sz w:val="20"/>
          <w:szCs w:val="20"/>
        </w:rPr>
      </w:pPr>
      <w:r w:rsidRPr="001A217F">
        <w:rPr>
          <w:rFonts w:asciiTheme="minorHAnsi" w:hAnsiTheme="minorHAnsi" w:cstheme="minorHAnsi"/>
          <w:sz w:val="20"/>
          <w:szCs w:val="20"/>
        </w:rPr>
        <w:t>L’emballage secondaire inclut d’autres éléments en plus du simple packaging primaire. Par exemple, un coussin de présentation, du </w:t>
      </w:r>
      <w:hyperlink r:id="rId15" w:tgtFrame="_blank" w:history="1">
        <w:r w:rsidRPr="001A217F">
          <w:rPr>
            <w:rFonts w:asciiTheme="minorHAnsi" w:hAnsiTheme="minorHAnsi" w:cstheme="minorHAnsi"/>
            <w:sz w:val="20"/>
            <w:szCs w:val="20"/>
          </w:rPr>
          <w:t>calage</w:t>
        </w:r>
      </w:hyperlink>
      <w:r w:rsidRPr="001A217F">
        <w:rPr>
          <w:rFonts w:asciiTheme="minorHAnsi" w:hAnsiTheme="minorHAnsi" w:cstheme="minorHAnsi"/>
          <w:sz w:val="20"/>
          <w:szCs w:val="20"/>
        </w:rPr>
        <w:t>, un séparateur pour organiser les produits…</w:t>
      </w:r>
    </w:p>
    <w:p w14:paraId="4730E6AE" w14:textId="77777777" w:rsidR="00734E1D" w:rsidRPr="001A217F" w:rsidRDefault="00734E1D" w:rsidP="00734E1D">
      <w:pPr>
        <w:pStyle w:val="NormalWeb"/>
        <w:numPr>
          <w:ilvl w:val="0"/>
          <w:numId w:val="27"/>
        </w:numPr>
        <w:tabs>
          <w:tab w:val="left" w:pos="9070"/>
        </w:tabs>
        <w:spacing w:after="0"/>
        <w:jc w:val="both"/>
        <w:rPr>
          <w:rFonts w:asciiTheme="minorHAnsi" w:hAnsiTheme="minorHAnsi" w:cstheme="minorHAnsi"/>
          <w:sz w:val="20"/>
          <w:szCs w:val="20"/>
        </w:rPr>
      </w:pPr>
      <w:r w:rsidRPr="001A217F">
        <w:rPr>
          <w:rFonts w:asciiTheme="minorHAnsi" w:hAnsiTheme="minorHAnsi" w:cstheme="minorHAnsi"/>
          <w:b/>
          <w:sz w:val="20"/>
          <w:szCs w:val="20"/>
          <w:u w:val="single"/>
        </w:rPr>
        <w:t>Emballage tertiaire</w:t>
      </w:r>
      <w:r w:rsidRPr="001A217F">
        <w:rPr>
          <w:rFonts w:asciiTheme="minorHAnsi" w:hAnsiTheme="minorHAnsi" w:cstheme="minorHAnsi"/>
          <w:sz w:val="20"/>
          <w:szCs w:val="20"/>
        </w:rPr>
        <w:t> : Il est aussi appelé emballage de manutention ou transport.il regroupe les produits en unités de livraison. Ce sont les cartons, les houssages plastiques qui recouvrent la palette de produits. L’emballage tertiaire peut prendre différentes formes. Par exemple : Un film plastique maintenant en place une grande quantité d’emballages secondaires ; une palette ; des caisses ; des conteneurs…</w:t>
      </w:r>
    </w:p>
    <w:p w14:paraId="3A0E74FB" w14:textId="77777777" w:rsidR="00734E1D" w:rsidRPr="001A217F" w:rsidRDefault="00734E1D" w:rsidP="00734E1D">
      <w:pPr>
        <w:rPr>
          <w:rFonts w:cstheme="minorHAnsi"/>
          <w:sz w:val="20"/>
          <w:szCs w:val="20"/>
        </w:rPr>
      </w:pPr>
    </w:p>
    <w:p w14:paraId="57AA9DDE" w14:textId="77777777" w:rsidR="00734E1D" w:rsidRPr="001A217F" w:rsidRDefault="00734E1D" w:rsidP="00734E1D">
      <w:pPr>
        <w:pStyle w:val="RedPara"/>
        <w:tabs>
          <w:tab w:val="left" w:pos="9070"/>
        </w:tabs>
        <w:spacing w:before="0" w:after="0"/>
        <w:jc w:val="both"/>
        <w:rPr>
          <w:rFonts w:asciiTheme="minorHAnsi" w:hAnsiTheme="minorHAnsi" w:cstheme="minorHAnsi"/>
          <w:sz w:val="20"/>
          <w:szCs w:val="20"/>
        </w:rPr>
      </w:pPr>
    </w:p>
    <w:p w14:paraId="477741F0" w14:textId="77777777" w:rsidR="00734E1D" w:rsidRPr="001A217F" w:rsidRDefault="00734E1D" w:rsidP="00734E1D">
      <w:pPr>
        <w:pStyle w:val="Titre3"/>
        <w:numPr>
          <w:ilvl w:val="0"/>
          <w:numId w:val="9"/>
        </w:numPr>
        <w:rPr>
          <w:rFonts w:asciiTheme="minorHAnsi" w:hAnsiTheme="minorHAnsi" w:cstheme="minorHAnsi"/>
          <w:sz w:val="20"/>
          <w:szCs w:val="20"/>
        </w:rPr>
      </w:pPr>
      <w:bookmarkStart w:id="8" w:name="_Toc93322564"/>
      <w:bookmarkStart w:id="9" w:name="_Toc153907348"/>
      <w:r w:rsidRPr="001A217F">
        <w:rPr>
          <w:rFonts w:asciiTheme="minorHAnsi" w:hAnsiTheme="minorHAnsi" w:cstheme="minorHAnsi"/>
          <w:sz w:val="20"/>
          <w:szCs w:val="20"/>
        </w:rPr>
        <w:t xml:space="preserve"> </w:t>
      </w:r>
      <w:bookmarkStart w:id="10" w:name="_Toc199226045"/>
      <w:bookmarkStart w:id="11" w:name="_Toc222900590"/>
      <w:r w:rsidRPr="001A217F">
        <w:rPr>
          <w:rFonts w:asciiTheme="minorHAnsi" w:hAnsiTheme="minorHAnsi" w:cstheme="minorHAnsi"/>
          <w:sz w:val="20"/>
          <w:szCs w:val="20"/>
        </w:rPr>
        <w:t>Qualité des emballages</w:t>
      </w:r>
      <w:bookmarkEnd w:id="8"/>
      <w:bookmarkEnd w:id="9"/>
      <w:bookmarkEnd w:id="10"/>
      <w:bookmarkEnd w:id="11"/>
    </w:p>
    <w:p w14:paraId="45296A6E" w14:textId="77777777" w:rsidR="00734E1D" w:rsidRPr="001A217F" w:rsidRDefault="00734E1D" w:rsidP="00734E1D">
      <w:pPr>
        <w:rPr>
          <w:rFonts w:cstheme="minorHAnsi"/>
          <w:sz w:val="20"/>
          <w:szCs w:val="20"/>
        </w:rPr>
      </w:pPr>
    </w:p>
    <w:p w14:paraId="60E4DA6C"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La qualité des emballages est de la responsabilité du titulaire.</w:t>
      </w:r>
    </w:p>
    <w:p w14:paraId="469C409E" w14:textId="77777777" w:rsidR="00734E1D" w:rsidRPr="001A217F" w:rsidRDefault="00734E1D" w:rsidP="00734E1D">
      <w:pPr>
        <w:pStyle w:val="NormalWeb"/>
        <w:tabs>
          <w:tab w:val="left" w:pos="9070"/>
        </w:tabs>
        <w:spacing w:after="0"/>
        <w:jc w:val="both"/>
        <w:rPr>
          <w:rFonts w:asciiTheme="minorHAnsi" w:hAnsiTheme="minorHAnsi" w:cstheme="minorHAnsi"/>
          <w:strike/>
          <w:sz w:val="20"/>
          <w:szCs w:val="20"/>
        </w:rPr>
      </w:pPr>
    </w:p>
    <w:p w14:paraId="7367D000"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 xml:space="preserve">Le titulaire utilise des contenants réutilisables, recyclés, recyclables, ou réemployés. </w:t>
      </w:r>
    </w:p>
    <w:p w14:paraId="70A391B3"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p>
    <w:p w14:paraId="4E196A0D"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Il veille également, dans la mesure du possible, à en réduire les quantités, en volume et en poids et à limiter au maximum l’utilisation de suremballages.</w:t>
      </w:r>
    </w:p>
    <w:p w14:paraId="40064F76"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p>
    <w:p w14:paraId="4D233A6F"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 xml:space="preserve">Le titulaire devra, sur simple demande de l’acheteur, produire tout document permettant de justifier l’utilisation de ce type de contenants, les conditions de réutilisation et les filières de recyclage. </w:t>
      </w:r>
    </w:p>
    <w:p w14:paraId="5B85829F"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p>
    <w:p w14:paraId="2BF106D9" w14:textId="3379A80A" w:rsidR="00734E1D" w:rsidRPr="001A217F" w:rsidRDefault="00734E1D" w:rsidP="00734E1D">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 xml:space="preserve">La non-transmission de ces justificatifs, dans un délai de 10 jours suivant la demande de l’acheteur, sera passible de l’application d’une pénalité de </w:t>
      </w:r>
      <w:r w:rsidR="001D1415">
        <w:rPr>
          <w:rFonts w:asciiTheme="minorHAnsi" w:hAnsiTheme="minorHAnsi" w:cstheme="minorHAnsi"/>
          <w:sz w:val="20"/>
          <w:szCs w:val="20"/>
        </w:rPr>
        <w:t>50</w:t>
      </w:r>
      <w:r w:rsidRPr="001A217F">
        <w:rPr>
          <w:rFonts w:asciiTheme="minorHAnsi" w:hAnsiTheme="minorHAnsi" w:cstheme="minorHAnsi"/>
          <w:sz w:val="20"/>
          <w:szCs w:val="20"/>
        </w:rPr>
        <w:t xml:space="preserve"> euros par jour de retard.</w:t>
      </w:r>
    </w:p>
    <w:p w14:paraId="58A07AB0" w14:textId="77777777" w:rsidR="00734E1D" w:rsidRPr="001A217F" w:rsidRDefault="00734E1D" w:rsidP="00734E1D">
      <w:pPr>
        <w:pStyle w:val="NormalWeb"/>
        <w:tabs>
          <w:tab w:val="left" w:pos="9070"/>
        </w:tabs>
        <w:spacing w:after="0"/>
        <w:jc w:val="both"/>
        <w:rPr>
          <w:rFonts w:asciiTheme="minorHAnsi" w:hAnsiTheme="minorHAnsi" w:cstheme="minorHAnsi"/>
          <w:sz w:val="20"/>
          <w:szCs w:val="20"/>
        </w:rPr>
      </w:pPr>
    </w:p>
    <w:p w14:paraId="1F8F9332" w14:textId="77777777" w:rsidR="00734E1D" w:rsidRPr="001A217F" w:rsidRDefault="00734E1D" w:rsidP="00734E1D">
      <w:pPr>
        <w:pStyle w:val="RedTxt"/>
        <w:tabs>
          <w:tab w:val="left" w:pos="9070"/>
        </w:tabs>
        <w:rPr>
          <w:rFonts w:asciiTheme="minorHAnsi" w:eastAsia="Arial Unicode MS" w:hAnsiTheme="minorHAnsi" w:cstheme="minorHAnsi"/>
          <w:sz w:val="20"/>
          <w:szCs w:val="20"/>
        </w:rPr>
      </w:pPr>
      <w:r w:rsidRPr="001A217F">
        <w:rPr>
          <w:rFonts w:asciiTheme="minorHAnsi" w:eastAsia="Arial Unicode MS" w:hAnsiTheme="minorHAnsi" w:cstheme="min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620EB629" w14:textId="77777777" w:rsidR="00734E1D" w:rsidRPr="001A217F" w:rsidRDefault="00734E1D" w:rsidP="00734E1D">
      <w:pPr>
        <w:pStyle w:val="RedTxt"/>
        <w:tabs>
          <w:tab w:val="left" w:pos="9070"/>
        </w:tabs>
        <w:rPr>
          <w:rFonts w:asciiTheme="minorHAnsi" w:eastAsia="Arial Unicode MS" w:hAnsiTheme="minorHAnsi" w:cstheme="minorHAnsi"/>
          <w:sz w:val="20"/>
          <w:szCs w:val="20"/>
        </w:rPr>
      </w:pPr>
    </w:p>
    <w:p w14:paraId="696F2A4B" w14:textId="77777777" w:rsidR="00734E1D" w:rsidRPr="001A217F" w:rsidRDefault="00734E1D" w:rsidP="00734E1D">
      <w:pPr>
        <w:pStyle w:val="Sansinterligne"/>
        <w:jc w:val="both"/>
        <w:rPr>
          <w:rFonts w:cstheme="minorHAnsi"/>
          <w:sz w:val="20"/>
          <w:szCs w:val="20"/>
        </w:rPr>
      </w:pPr>
      <w:r w:rsidRPr="001A217F">
        <w:rPr>
          <w:rFonts w:cstheme="minorHAnsi"/>
          <w:sz w:val="20"/>
          <w:szCs w:val="20"/>
        </w:rPr>
        <w:t xml:space="preserve">Ces exigences ne sont applicables que dans le respect des obligations en matière d’emballages des dispositifs médicaux telles que décrites dans l’article « conditionnement » du </w:t>
      </w:r>
      <w:r>
        <w:rPr>
          <w:rFonts w:cstheme="minorHAnsi"/>
          <w:sz w:val="20"/>
          <w:szCs w:val="20"/>
        </w:rPr>
        <w:t>CCTP</w:t>
      </w:r>
      <w:r w:rsidRPr="001A217F">
        <w:rPr>
          <w:rFonts w:cstheme="minorHAnsi"/>
          <w:sz w:val="20"/>
          <w:szCs w:val="20"/>
        </w:rPr>
        <w:t xml:space="preserve">. </w:t>
      </w:r>
    </w:p>
    <w:p w14:paraId="68B6728F" w14:textId="77777777" w:rsidR="00734E1D" w:rsidRPr="001A217F" w:rsidRDefault="00734E1D" w:rsidP="00734E1D">
      <w:pPr>
        <w:pStyle w:val="RedTxt"/>
        <w:tabs>
          <w:tab w:val="left" w:pos="9070"/>
        </w:tabs>
        <w:rPr>
          <w:rFonts w:asciiTheme="minorHAnsi" w:hAnsiTheme="minorHAnsi" w:cstheme="minorHAnsi"/>
          <w:sz w:val="20"/>
          <w:szCs w:val="20"/>
          <w:highlight w:val="cyan"/>
        </w:rPr>
      </w:pPr>
    </w:p>
    <w:p w14:paraId="3A55C6B2" w14:textId="77777777" w:rsidR="00734E1D" w:rsidRPr="001A217F" w:rsidRDefault="00734E1D" w:rsidP="00734E1D">
      <w:pPr>
        <w:pStyle w:val="Sansinterligne"/>
        <w:jc w:val="both"/>
        <w:rPr>
          <w:rFonts w:cstheme="minorHAnsi"/>
          <w:b/>
          <w:sz w:val="20"/>
          <w:szCs w:val="20"/>
          <w:u w:val="single"/>
        </w:rPr>
      </w:pPr>
      <w:r w:rsidRPr="001A217F">
        <w:rPr>
          <w:rFonts w:cstheme="minorHAnsi"/>
          <w:b/>
          <w:sz w:val="20"/>
          <w:szCs w:val="20"/>
          <w:u w:val="single"/>
        </w:rPr>
        <w:t>Emballages tertiaires :</w:t>
      </w:r>
    </w:p>
    <w:p w14:paraId="07B45FFA" w14:textId="77777777" w:rsidR="00734E1D" w:rsidRPr="001A217F" w:rsidRDefault="00734E1D" w:rsidP="00734E1D">
      <w:pPr>
        <w:pStyle w:val="Sansinterligne"/>
        <w:jc w:val="both"/>
        <w:rPr>
          <w:rFonts w:cstheme="minorHAnsi"/>
          <w:b/>
          <w:sz w:val="20"/>
          <w:szCs w:val="20"/>
          <w:u w:val="single"/>
        </w:rPr>
      </w:pPr>
    </w:p>
    <w:p w14:paraId="2DD2ADF9" w14:textId="77777777" w:rsidR="00734E1D" w:rsidRPr="001A217F" w:rsidRDefault="00734E1D" w:rsidP="00734E1D">
      <w:pPr>
        <w:pStyle w:val="Sansinterligne"/>
        <w:jc w:val="both"/>
        <w:rPr>
          <w:rFonts w:cstheme="minorHAnsi"/>
          <w:sz w:val="20"/>
          <w:szCs w:val="20"/>
        </w:rPr>
      </w:pPr>
      <w:r w:rsidRPr="001A217F">
        <w:rPr>
          <w:rFonts w:cstheme="minorHAnsi"/>
          <w:sz w:val="20"/>
          <w:szCs w:val="20"/>
        </w:rPr>
        <w:t>Les palettes livrés contenant les cartons seront :</w:t>
      </w:r>
    </w:p>
    <w:p w14:paraId="0668ED1F" w14:textId="77777777" w:rsidR="00734E1D" w:rsidRPr="001A217F" w:rsidRDefault="00734E1D" w:rsidP="00734E1D">
      <w:pPr>
        <w:pStyle w:val="Sansinterligne"/>
        <w:jc w:val="both"/>
        <w:rPr>
          <w:rFonts w:cstheme="minorHAnsi"/>
          <w:sz w:val="20"/>
          <w:szCs w:val="20"/>
        </w:rPr>
      </w:pPr>
    </w:p>
    <w:p w14:paraId="025D7291" w14:textId="77777777" w:rsidR="00734E1D" w:rsidRPr="001A217F" w:rsidRDefault="00734E1D" w:rsidP="00734E1D">
      <w:pPr>
        <w:pStyle w:val="Paragraphedeliste"/>
        <w:numPr>
          <w:ilvl w:val="0"/>
          <w:numId w:val="19"/>
        </w:numPr>
        <w:spacing w:after="0" w:line="276" w:lineRule="auto"/>
        <w:jc w:val="both"/>
        <w:rPr>
          <w:rFonts w:cstheme="minorHAnsi"/>
          <w:sz w:val="20"/>
          <w:szCs w:val="20"/>
        </w:rPr>
      </w:pPr>
      <w:r w:rsidRPr="001A217F">
        <w:rPr>
          <w:rFonts w:cstheme="minorHAnsi"/>
          <w:sz w:val="20"/>
          <w:szCs w:val="20"/>
        </w:rPr>
        <w:t>De dimension conforme aux normes européennes : 80X120X170 cm</w:t>
      </w:r>
    </w:p>
    <w:p w14:paraId="5600CFE9" w14:textId="77777777" w:rsidR="00734E1D" w:rsidRPr="001A217F" w:rsidRDefault="00734E1D" w:rsidP="00734E1D">
      <w:pPr>
        <w:pStyle w:val="Paragraphedeliste"/>
        <w:numPr>
          <w:ilvl w:val="0"/>
          <w:numId w:val="18"/>
        </w:numPr>
        <w:spacing w:after="0" w:line="276" w:lineRule="auto"/>
        <w:jc w:val="both"/>
        <w:rPr>
          <w:rFonts w:cstheme="minorHAnsi"/>
          <w:sz w:val="20"/>
          <w:szCs w:val="20"/>
        </w:rPr>
      </w:pPr>
      <w:r w:rsidRPr="001A217F">
        <w:rPr>
          <w:rFonts w:cstheme="minorHAnsi"/>
          <w:sz w:val="20"/>
          <w:szCs w:val="20"/>
        </w:rPr>
        <w:t xml:space="preserve">Stables, </w:t>
      </w:r>
    </w:p>
    <w:p w14:paraId="7834F011" w14:textId="77777777" w:rsidR="00734E1D" w:rsidRPr="001A217F" w:rsidRDefault="00734E1D" w:rsidP="00734E1D">
      <w:pPr>
        <w:pStyle w:val="Paragraphedeliste"/>
        <w:numPr>
          <w:ilvl w:val="0"/>
          <w:numId w:val="18"/>
        </w:numPr>
        <w:spacing w:after="0" w:line="276" w:lineRule="auto"/>
        <w:jc w:val="both"/>
        <w:rPr>
          <w:rFonts w:cstheme="minorHAnsi"/>
          <w:sz w:val="20"/>
          <w:szCs w:val="20"/>
        </w:rPr>
      </w:pPr>
      <w:r w:rsidRPr="001A217F">
        <w:rPr>
          <w:rFonts w:cstheme="minorHAnsi"/>
          <w:sz w:val="20"/>
          <w:szCs w:val="20"/>
        </w:rPr>
        <w:t xml:space="preserve">Systématiquement filmées, avec des angles de protections, un chapeau de couverture et un scotch siglé  </w:t>
      </w:r>
    </w:p>
    <w:p w14:paraId="21EAA587" w14:textId="77777777" w:rsidR="00734E1D" w:rsidRPr="001A217F" w:rsidRDefault="00734E1D" w:rsidP="00734E1D">
      <w:pPr>
        <w:pStyle w:val="Paragraphedeliste"/>
        <w:numPr>
          <w:ilvl w:val="0"/>
          <w:numId w:val="18"/>
        </w:numPr>
        <w:spacing w:after="0" w:line="276" w:lineRule="auto"/>
        <w:jc w:val="both"/>
        <w:rPr>
          <w:rFonts w:cstheme="minorHAnsi"/>
          <w:sz w:val="20"/>
          <w:szCs w:val="20"/>
        </w:rPr>
      </w:pPr>
      <w:r w:rsidRPr="001A217F">
        <w:rPr>
          <w:rFonts w:cstheme="minorHAnsi"/>
          <w:sz w:val="20"/>
          <w:szCs w:val="20"/>
        </w:rPr>
        <w:t>Capables de supporter une charge de 1000 à 1200 Kg</w:t>
      </w:r>
    </w:p>
    <w:p w14:paraId="41DCEE81" w14:textId="77777777" w:rsidR="00734E1D" w:rsidRPr="001A217F" w:rsidRDefault="00734E1D" w:rsidP="00734E1D">
      <w:pPr>
        <w:pStyle w:val="Sansinterligne"/>
        <w:ind w:left="720"/>
        <w:jc w:val="both"/>
        <w:rPr>
          <w:rFonts w:cstheme="minorHAnsi"/>
          <w:sz w:val="20"/>
          <w:szCs w:val="20"/>
        </w:rPr>
      </w:pPr>
    </w:p>
    <w:p w14:paraId="53B6A91F" w14:textId="77777777" w:rsidR="00734E1D" w:rsidRPr="001A217F" w:rsidRDefault="00734E1D" w:rsidP="00734E1D">
      <w:pPr>
        <w:spacing w:after="0" w:line="276" w:lineRule="auto"/>
        <w:jc w:val="both"/>
        <w:rPr>
          <w:rFonts w:cstheme="minorHAnsi"/>
          <w:sz w:val="20"/>
          <w:szCs w:val="20"/>
        </w:rPr>
      </w:pPr>
      <w:r w:rsidRPr="001A217F">
        <w:rPr>
          <w:rFonts w:cstheme="minorHAnsi"/>
          <w:sz w:val="20"/>
          <w:szCs w:val="20"/>
        </w:rPr>
        <w:t>Les palettes devront être constituées d'articles de même référence. Pour les gros volumes un seul article par palette sera accepté voir deux maximum.</w:t>
      </w:r>
    </w:p>
    <w:p w14:paraId="2182F76F" w14:textId="77777777" w:rsidR="00734E1D" w:rsidRPr="001A217F" w:rsidRDefault="00734E1D" w:rsidP="00734E1D">
      <w:pPr>
        <w:pStyle w:val="Paragraphedeliste"/>
        <w:rPr>
          <w:rFonts w:cstheme="minorHAnsi"/>
          <w:sz w:val="20"/>
          <w:szCs w:val="20"/>
        </w:rPr>
      </w:pPr>
    </w:p>
    <w:p w14:paraId="385B29C0" w14:textId="77777777" w:rsidR="00734E1D" w:rsidRPr="001A217F" w:rsidRDefault="00734E1D" w:rsidP="00734E1D">
      <w:pPr>
        <w:pStyle w:val="Sansinterligne"/>
        <w:numPr>
          <w:ilvl w:val="0"/>
          <w:numId w:val="18"/>
        </w:numPr>
        <w:jc w:val="both"/>
        <w:rPr>
          <w:rFonts w:cstheme="minorHAnsi"/>
          <w:sz w:val="20"/>
          <w:szCs w:val="20"/>
        </w:rPr>
      </w:pPr>
      <w:r w:rsidRPr="001A217F">
        <w:rPr>
          <w:rFonts w:cstheme="minorHAnsi"/>
          <w:sz w:val="20"/>
          <w:szCs w:val="20"/>
        </w:rPr>
        <w:lastRenderedPageBreak/>
        <w:t xml:space="preserve">Les cartons seront empilables. </w:t>
      </w:r>
    </w:p>
    <w:p w14:paraId="1C5D8F15"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Dans la mesure où les quantités commandées sont ajustées au conditionnement standard, les articles devront être livrés dans ces conditionnements standards et non reconditionnés</w:t>
      </w:r>
    </w:p>
    <w:p w14:paraId="4C46D46C" w14:textId="77777777" w:rsidR="00734E1D" w:rsidRPr="001A217F" w:rsidRDefault="00734E1D" w:rsidP="00734E1D">
      <w:pPr>
        <w:pStyle w:val="RedTxt"/>
        <w:tabs>
          <w:tab w:val="left" w:pos="9070"/>
        </w:tabs>
        <w:rPr>
          <w:rFonts w:asciiTheme="minorHAnsi" w:hAnsiTheme="minorHAnsi" w:cstheme="minorHAnsi"/>
          <w:sz w:val="20"/>
          <w:szCs w:val="20"/>
        </w:rPr>
      </w:pPr>
    </w:p>
    <w:p w14:paraId="54500B20" w14:textId="77777777" w:rsidR="00734E1D" w:rsidRDefault="00734E1D" w:rsidP="00734E1D">
      <w:pPr>
        <w:pStyle w:val="Sansinterligne"/>
        <w:jc w:val="both"/>
        <w:rPr>
          <w:rFonts w:cstheme="minorHAnsi"/>
          <w:sz w:val="20"/>
          <w:szCs w:val="20"/>
        </w:rPr>
      </w:pPr>
      <w:r w:rsidRPr="001A217F">
        <w:rPr>
          <w:rFonts w:cstheme="minorHAnsi"/>
          <w:sz w:val="20"/>
          <w:szCs w:val="20"/>
        </w:rPr>
        <w:t>En cas de non-respect de ces règles, un refus de livraison pourra être opposé et une pénalité de 100 euros par livraison non conforme sera appliquée »</w:t>
      </w:r>
    </w:p>
    <w:p w14:paraId="1DC7A6F0" w14:textId="77777777" w:rsidR="00734E1D" w:rsidRPr="001A217F" w:rsidRDefault="00734E1D" w:rsidP="00734E1D">
      <w:pPr>
        <w:pStyle w:val="Sansinterligne"/>
        <w:jc w:val="both"/>
        <w:rPr>
          <w:rFonts w:cstheme="minorHAnsi"/>
          <w:sz w:val="20"/>
          <w:szCs w:val="20"/>
        </w:rPr>
      </w:pPr>
    </w:p>
    <w:p w14:paraId="0F5C16A3" w14:textId="77777777" w:rsidR="00734E1D" w:rsidRPr="001A217F" w:rsidRDefault="00734E1D" w:rsidP="00734E1D">
      <w:pPr>
        <w:pStyle w:val="RedTxt"/>
        <w:tabs>
          <w:tab w:val="left" w:pos="9070"/>
        </w:tabs>
        <w:rPr>
          <w:rFonts w:asciiTheme="minorHAnsi" w:eastAsia="Arial Unicode MS" w:hAnsiTheme="minorHAnsi" w:cstheme="minorHAnsi"/>
          <w:sz w:val="20"/>
          <w:szCs w:val="20"/>
        </w:rPr>
      </w:pPr>
    </w:p>
    <w:p w14:paraId="5ADD2FB3" w14:textId="77777777" w:rsidR="00734E1D" w:rsidRPr="001A217F" w:rsidRDefault="00734E1D" w:rsidP="00734E1D">
      <w:pPr>
        <w:pStyle w:val="Titre3"/>
        <w:numPr>
          <w:ilvl w:val="0"/>
          <w:numId w:val="9"/>
        </w:numPr>
        <w:rPr>
          <w:rFonts w:asciiTheme="minorHAnsi" w:hAnsiTheme="minorHAnsi" w:cstheme="minorHAnsi"/>
          <w:sz w:val="20"/>
          <w:szCs w:val="20"/>
        </w:rPr>
      </w:pPr>
      <w:bookmarkStart w:id="12" w:name="_Toc93322565"/>
      <w:bookmarkStart w:id="13" w:name="_Toc153907349"/>
      <w:bookmarkStart w:id="14" w:name="_Toc199226046"/>
      <w:bookmarkStart w:id="15" w:name="_Toc222900591"/>
      <w:r w:rsidRPr="001A217F">
        <w:rPr>
          <w:rFonts w:asciiTheme="minorHAnsi" w:hAnsiTheme="minorHAnsi" w:cstheme="minorHAnsi"/>
          <w:sz w:val="20"/>
          <w:szCs w:val="20"/>
        </w:rPr>
        <w:t>Propriété des emballages</w:t>
      </w:r>
      <w:bookmarkEnd w:id="12"/>
      <w:bookmarkEnd w:id="13"/>
      <w:bookmarkEnd w:id="14"/>
      <w:bookmarkEnd w:id="15"/>
    </w:p>
    <w:p w14:paraId="727BC09D" w14:textId="77777777" w:rsidR="00734E1D" w:rsidRPr="001A217F" w:rsidRDefault="00734E1D" w:rsidP="00734E1D">
      <w:pPr>
        <w:pStyle w:val="RedTxt"/>
        <w:tabs>
          <w:tab w:val="left" w:pos="9070"/>
        </w:tabs>
        <w:rPr>
          <w:rFonts w:asciiTheme="minorHAnsi" w:hAnsiTheme="minorHAnsi" w:cstheme="minorHAnsi"/>
          <w:sz w:val="20"/>
          <w:szCs w:val="20"/>
          <w:highlight w:val="cyan"/>
        </w:rPr>
      </w:pPr>
    </w:p>
    <w:p w14:paraId="10993808" w14:textId="5B60A0DC" w:rsidR="00734E1D" w:rsidRDefault="00734E1D" w:rsidP="00734E1D">
      <w:pPr>
        <w:pStyle w:val="RedTxt"/>
        <w:tabs>
          <w:tab w:val="left" w:pos="9070"/>
        </w:tabs>
        <w:rPr>
          <w:rFonts w:asciiTheme="minorHAnsi" w:eastAsiaTheme="minorEastAsia" w:hAnsiTheme="minorHAnsi" w:cstheme="minorHAnsi"/>
          <w:sz w:val="20"/>
          <w:lang w:eastAsia="en-US"/>
        </w:rPr>
      </w:pPr>
      <w:r w:rsidRPr="001A217F">
        <w:rPr>
          <w:rFonts w:asciiTheme="minorHAnsi" w:eastAsiaTheme="minorEastAsia" w:hAnsiTheme="minorHAnsi" w:cstheme="minorHAnsi"/>
          <w:sz w:val="20"/>
          <w:lang w:eastAsia="en-US"/>
        </w:rPr>
        <w:t>En dérogation de l'article 20.2.2 du CCAG FCS, les emballages restent la propriété de la personne publique qui se chargera d’assurer leur recyclage ou leur réutilisation.</w:t>
      </w:r>
    </w:p>
    <w:p w14:paraId="2507F390" w14:textId="77777777" w:rsidR="00734E1D" w:rsidRPr="001A217F" w:rsidRDefault="00734E1D" w:rsidP="00734E1D">
      <w:pPr>
        <w:pStyle w:val="RedTxt"/>
        <w:tabs>
          <w:tab w:val="left" w:pos="9070"/>
        </w:tabs>
        <w:rPr>
          <w:rFonts w:asciiTheme="minorHAnsi" w:eastAsiaTheme="minorEastAsia" w:hAnsiTheme="minorHAnsi" w:cstheme="minorHAnsi"/>
          <w:sz w:val="20"/>
          <w:lang w:eastAsia="en-US"/>
        </w:rPr>
      </w:pPr>
    </w:p>
    <w:p w14:paraId="61073B15" w14:textId="77777777" w:rsidR="00734E1D" w:rsidRPr="00076A70" w:rsidRDefault="00734E1D" w:rsidP="00734E1D">
      <w:pPr>
        <w:pStyle w:val="NormalWeb"/>
        <w:tabs>
          <w:tab w:val="left" w:pos="9070"/>
        </w:tabs>
        <w:spacing w:after="0"/>
        <w:rPr>
          <w:rFonts w:asciiTheme="minorHAnsi" w:eastAsia="Times New Roman" w:hAnsiTheme="minorHAnsi" w:cstheme="minorHAnsi"/>
          <w:sz w:val="20"/>
          <w:szCs w:val="22"/>
          <w:highlight w:val="yellow"/>
          <w:lang w:eastAsia="fr-FR"/>
        </w:rPr>
      </w:pPr>
      <w:r w:rsidRPr="001A217F">
        <w:rPr>
          <w:rFonts w:asciiTheme="minorHAnsi" w:eastAsia="Times New Roman" w:hAnsiTheme="minorHAnsi" w:cstheme="minorHAnsi"/>
          <w:sz w:val="20"/>
          <w:szCs w:val="22"/>
          <w:highlight w:val="yellow"/>
          <w:lang w:eastAsia="fr-FR"/>
        </w:rPr>
        <w:t xml:space="preserve"> </w:t>
      </w:r>
    </w:p>
    <w:p w14:paraId="5278CDB4" w14:textId="77777777" w:rsidR="00734E1D" w:rsidRPr="001A217F" w:rsidRDefault="00734E1D" w:rsidP="00734E1D">
      <w:pPr>
        <w:pStyle w:val="Titre2"/>
        <w:numPr>
          <w:ilvl w:val="0"/>
          <w:numId w:val="8"/>
        </w:numPr>
        <w:jc w:val="both"/>
        <w:rPr>
          <w:rFonts w:asciiTheme="minorHAnsi" w:hAnsiTheme="minorHAnsi" w:cstheme="minorHAnsi"/>
          <w:sz w:val="20"/>
          <w:szCs w:val="20"/>
          <w:u w:val="single"/>
        </w:rPr>
      </w:pPr>
      <w:bookmarkStart w:id="16" w:name="_Toc199226047"/>
      <w:bookmarkStart w:id="17" w:name="_Toc222900592"/>
      <w:bookmarkEnd w:id="5"/>
      <w:bookmarkEnd w:id="6"/>
      <w:r w:rsidRPr="001A217F">
        <w:rPr>
          <w:rFonts w:asciiTheme="minorHAnsi" w:hAnsiTheme="minorHAnsi" w:cstheme="minorHAnsi"/>
          <w:noProof/>
          <w:sz w:val="20"/>
          <w:szCs w:val="20"/>
          <w:lang w:eastAsia="fr-FR"/>
        </w:rPr>
        <w:drawing>
          <wp:anchor distT="0" distB="0" distL="114300" distR="114300" simplePos="0" relativeHeight="251679744" behindDoc="1" locked="0" layoutInCell="1" allowOverlap="1" wp14:anchorId="45F6A28C" wp14:editId="21C6BE6F">
            <wp:simplePos x="0" y="0"/>
            <wp:positionH relativeFrom="margin">
              <wp:posOffset>5578475</wp:posOffset>
            </wp:positionH>
            <wp:positionV relativeFrom="paragraph">
              <wp:posOffset>10795</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r w:rsidRPr="001A217F">
        <w:rPr>
          <w:rFonts w:asciiTheme="minorHAnsi" w:hAnsiTheme="minorHAnsi" w:cstheme="minorHAnsi"/>
          <w:sz w:val="20"/>
          <w:szCs w:val="20"/>
          <w:u w:val="single"/>
        </w:rPr>
        <w:t>Les obligations en matière de transport</w:t>
      </w:r>
      <w:bookmarkEnd w:id="16"/>
      <w:bookmarkEnd w:id="17"/>
    </w:p>
    <w:p w14:paraId="7F78572A" w14:textId="77777777" w:rsidR="00734E1D" w:rsidRPr="001A217F" w:rsidRDefault="00734E1D" w:rsidP="00734E1D">
      <w:pPr>
        <w:rPr>
          <w:rFonts w:cstheme="minorHAnsi"/>
          <w:sz w:val="20"/>
          <w:szCs w:val="20"/>
        </w:rPr>
      </w:pPr>
    </w:p>
    <w:p w14:paraId="46B4F239" w14:textId="77777777" w:rsidR="00734E1D" w:rsidRPr="001A217F" w:rsidRDefault="00734E1D" w:rsidP="00734E1D">
      <w:pPr>
        <w:pStyle w:val="Titre3"/>
        <w:numPr>
          <w:ilvl w:val="0"/>
          <w:numId w:val="10"/>
        </w:numPr>
        <w:rPr>
          <w:rFonts w:asciiTheme="minorHAnsi" w:hAnsiTheme="minorHAnsi" w:cstheme="minorHAnsi"/>
          <w:sz w:val="20"/>
          <w:szCs w:val="20"/>
        </w:rPr>
      </w:pPr>
      <w:bookmarkStart w:id="18" w:name="_Toc415222002"/>
      <w:bookmarkStart w:id="19" w:name="_Toc153907355"/>
      <w:bookmarkStart w:id="20" w:name="_Toc199226048"/>
      <w:bookmarkStart w:id="21" w:name="_Toc222900593"/>
      <w:r w:rsidRPr="001A217F">
        <w:rPr>
          <w:rFonts w:asciiTheme="minorHAnsi" w:hAnsiTheme="minorHAnsi" w:cstheme="minorHAnsi"/>
          <w:sz w:val="20"/>
          <w:szCs w:val="20"/>
        </w:rPr>
        <w:t xml:space="preserve">Mode de transport pour </w:t>
      </w:r>
      <w:bookmarkEnd w:id="18"/>
      <w:bookmarkEnd w:id="19"/>
      <w:r w:rsidRPr="001A217F">
        <w:rPr>
          <w:rFonts w:asciiTheme="minorHAnsi" w:hAnsiTheme="minorHAnsi" w:cstheme="minorHAnsi"/>
          <w:sz w:val="20"/>
          <w:szCs w:val="20"/>
        </w:rPr>
        <w:t>les livraisons</w:t>
      </w:r>
      <w:bookmarkEnd w:id="20"/>
      <w:bookmarkEnd w:id="21"/>
    </w:p>
    <w:p w14:paraId="26BD5A3D" w14:textId="77777777" w:rsidR="00734E1D" w:rsidRPr="001A217F" w:rsidRDefault="00734E1D" w:rsidP="00734E1D">
      <w:pPr>
        <w:rPr>
          <w:rFonts w:cstheme="minorHAnsi"/>
          <w:sz w:val="20"/>
          <w:szCs w:val="20"/>
        </w:rPr>
      </w:pPr>
    </w:p>
    <w:p w14:paraId="493B8E5B" w14:textId="77777777" w:rsidR="00734E1D" w:rsidRPr="001A217F" w:rsidRDefault="00734E1D" w:rsidP="00734E1D">
      <w:pPr>
        <w:pStyle w:val="Titre4"/>
        <w:rPr>
          <w:rFonts w:asciiTheme="minorHAnsi" w:hAnsiTheme="minorHAnsi" w:cstheme="minorHAnsi"/>
          <w:sz w:val="20"/>
          <w:szCs w:val="20"/>
        </w:rPr>
      </w:pPr>
      <w:r w:rsidRPr="001A217F">
        <w:rPr>
          <w:rFonts w:asciiTheme="minorHAnsi" w:hAnsiTheme="minorHAnsi" w:cstheme="minorHAnsi"/>
          <w:sz w:val="20"/>
          <w:szCs w:val="20"/>
        </w:rPr>
        <w:t>1/MODES DE TRANSPORT ET SOURCES D’ÉNERGIES ALTERNATIVES</w:t>
      </w:r>
    </w:p>
    <w:p w14:paraId="0CD11BBE" w14:textId="77777777" w:rsidR="00734E1D" w:rsidRPr="001A217F" w:rsidRDefault="00734E1D" w:rsidP="00734E1D">
      <w:pPr>
        <w:rPr>
          <w:rFonts w:cstheme="minorHAnsi"/>
          <w:sz w:val="20"/>
          <w:szCs w:val="20"/>
        </w:rPr>
      </w:pPr>
    </w:p>
    <w:p w14:paraId="4D2203F7"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color w:val="404040"/>
          <w:sz w:val="20"/>
          <w:szCs w:val="20"/>
        </w:rPr>
        <w:t>P</w:t>
      </w:r>
      <w:r w:rsidRPr="001A217F">
        <w:rPr>
          <w:rFonts w:asciiTheme="minorHAnsi" w:hAnsiTheme="minorHAnsi" w:cstheme="minorHAnsi"/>
          <w:sz w:val="20"/>
          <w:szCs w:val="20"/>
        </w:rPr>
        <w:t xml:space="preserve">our la réalisation des prestations de livraison induites par l’exécution du marché le titulaire favorise, lorsque les trajets le permettent, des solutions alternatives au transport routier conventionnel utilisant l’essence ou le diesel comme carburant, dans un objectif de minimiser leur impact en matière d’émissions de gaz à effet de serre (GES). </w:t>
      </w:r>
    </w:p>
    <w:p w14:paraId="2CFF008F" w14:textId="77777777" w:rsidR="00734E1D" w:rsidRPr="001A217F" w:rsidRDefault="00734E1D" w:rsidP="00734E1D">
      <w:pPr>
        <w:pStyle w:val="RedTxt"/>
        <w:tabs>
          <w:tab w:val="left" w:pos="9070"/>
        </w:tabs>
        <w:rPr>
          <w:rFonts w:asciiTheme="minorHAnsi" w:hAnsiTheme="minorHAnsi" w:cstheme="minorHAnsi"/>
          <w:sz w:val="20"/>
          <w:szCs w:val="20"/>
        </w:rPr>
      </w:pPr>
    </w:p>
    <w:p w14:paraId="4DC54205"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Ces solutions alternatives portent, à la discrétion du titulaire :</w:t>
      </w:r>
    </w:p>
    <w:p w14:paraId="23828C04" w14:textId="77777777" w:rsidR="00734E1D" w:rsidRPr="001A217F" w:rsidRDefault="00734E1D" w:rsidP="00734E1D">
      <w:pPr>
        <w:pStyle w:val="RedTxt"/>
        <w:tabs>
          <w:tab w:val="left" w:pos="9070"/>
        </w:tabs>
        <w:rPr>
          <w:rFonts w:asciiTheme="minorHAnsi" w:hAnsiTheme="minorHAnsi" w:cstheme="minorHAnsi"/>
          <w:sz w:val="20"/>
          <w:szCs w:val="20"/>
          <w:highlight w:val="cyan"/>
        </w:rPr>
      </w:pPr>
    </w:p>
    <w:p w14:paraId="624232E4" w14:textId="77777777" w:rsidR="00734E1D" w:rsidRPr="001A217F" w:rsidRDefault="00734E1D" w:rsidP="00734E1D">
      <w:pPr>
        <w:pStyle w:val="Corpsdetexte"/>
        <w:numPr>
          <w:ilvl w:val="0"/>
          <w:numId w:val="20"/>
        </w:numPr>
        <w:spacing w:line="244" w:lineRule="auto"/>
        <w:ind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Sur le recours au transport ferroviaire, fluvial, et/ou à la cyclologistique (ex. vélo cargo) pour le dernier-kilomètre ;</w:t>
      </w:r>
    </w:p>
    <w:p w14:paraId="20A752EF" w14:textId="77777777" w:rsidR="00734E1D" w:rsidRPr="001A217F" w:rsidRDefault="00734E1D" w:rsidP="00734E1D">
      <w:pPr>
        <w:pStyle w:val="Corpsdetexte"/>
        <w:numPr>
          <w:ilvl w:val="0"/>
          <w:numId w:val="20"/>
        </w:numPr>
        <w:spacing w:line="244" w:lineRule="auto"/>
        <w:ind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Sur le type de source d’énergie alimentant les véhicules routiers utilisés (électricité, hydrogène, gaz naturel (GNC/GNL) y compris biogaz, gaz de pétrole liquéfié (GPL), biocarburant non produit à partir d’huile de palme ou de soja, ou carburant de synthèse).</w:t>
      </w:r>
    </w:p>
    <w:p w14:paraId="4E256933" w14:textId="77777777" w:rsidR="00734E1D" w:rsidRPr="001A217F" w:rsidRDefault="00734E1D" w:rsidP="00734E1D">
      <w:pPr>
        <w:pStyle w:val="Corpsdetexte"/>
        <w:spacing w:line="244" w:lineRule="auto"/>
        <w:ind w:right="219"/>
        <w:jc w:val="both"/>
        <w:rPr>
          <w:rFonts w:asciiTheme="minorHAnsi" w:eastAsia="Times New Roman" w:hAnsiTheme="minorHAnsi" w:cstheme="minorHAnsi"/>
          <w:lang w:eastAsia="fr-FR"/>
        </w:rPr>
      </w:pPr>
    </w:p>
    <w:p w14:paraId="0C41A338" w14:textId="77777777" w:rsidR="00734E1D" w:rsidRPr="001A217F" w:rsidRDefault="00734E1D" w:rsidP="00734E1D">
      <w:pPr>
        <w:pStyle w:val="Corpsdetexte"/>
        <w:spacing w:line="244" w:lineRule="auto"/>
        <w:ind w:right="219"/>
        <w:jc w:val="both"/>
        <w:rPr>
          <w:rFonts w:asciiTheme="minorHAnsi" w:eastAsia="Times New Roman" w:hAnsiTheme="minorHAnsi" w:cstheme="minorHAnsi"/>
          <w:lang w:eastAsia="fr-FR"/>
        </w:rPr>
      </w:pPr>
    </w:p>
    <w:p w14:paraId="4D1F5F14" w14:textId="77777777" w:rsidR="00734E1D" w:rsidRPr="001A217F" w:rsidRDefault="00734E1D" w:rsidP="00734E1D">
      <w:pPr>
        <w:pStyle w:val="Titre4"/>
        <w:rPr>
          <w:rFonts w:asciiTheme="minorHAnsi" w:hAnsiTheme="minorHAnsi" w:cstheme="minorHAnsi"/>
          <w:sz w:val="20"/>
          <w:szCs w:val="20"/>
        </w:rPr>
      </w:pPr>
      <w:r w:rsidRPr="001A217F">
        <w:rPr>
          <w:rFonts w:asciiTheme="minorHAnsi" w:hAnsiTheme="minorHAnsi" w:cstheme="minorHAnsi"/>
          <w:sz w:val="20"/>
          <w:szCs w:val="20"/>
        </w:rPr>
        <w:t xml:space="preserve">2/QUALITÉ ENVIRONNEMENTALE DES VÉHICULES ROUTIERS UTILISÉS POUR LE MARCHÉ </w:t>
      </w:r>
    </w:p>
    <w:p w14:paraId="478F63E6" w14:textId="77777777" w:rsidR="00734E1D" w:rsidRPr="001A217F" w:rsidRDefault="00734E1D" w:rsidP="00734E1D">
      <w:pPr>
        <w:pStyle w:val="Corpsdetexte"/>
        <w:spacing w:line="244" w:lineRule="auto"/>
        <w:ind w:right="219"/>
        <w:jc w:val="both"/>
        <w:rPr>
          <w:rFonts w:asciiTheme="minorHAnsi" w:eastAsia="Times New Roman" w:hAnsiTheme="minorHAnsi" w:cstheme="minorHAnsi"/>
          <w:lang w:eastAsia="fr-FR"/>
        </w:rPr>
      </w:pPr>
    </w:p>
    <w:p w14:paraId="62F83C07"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Que la prestation soit réalisée en flotte propre ou externalisée, la flotte routière de poids lourds utilisée pour l’exécution du marché répond à minima à la norme d’émissions de polluants atmosphériques Euro V.</w:t>
      </w:r>
    </w:p>
    <w:p w14:paraId="6823D1B3" w14:textId="77777777" w:rsidR="00734E1D" w:rsidRDefault="00734E1D" w:rsidP="00734E1D">
      <w:pPr>
        <w:pStyle w:val="Corpsdetexte"/>
        <w:spacing w:line="244" w:lineRule="auto"/>
        <w:ind w:left="430" w:right="219"/>
        <w:jc w:val="both"/>
        <w:rPr>
          <w:rFonts w:asciiTheme="minorHAnsi" w:eastAsia="Times New Roman" w:hAnsiTheme="minorHAnsi" w:cstheme="minorHAnsi"/>
          <w:lang w:eastAsia="fr-FR"/>
        </w:rPr>
      </w:pPr>
    </w:p>
    <w:p w14:paraId="4130B537"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p>
    <w:p w14:paraId="04A4DC1F" w14:textId="77777777" w:rsidR="00734E1D" w:rsidRPr="001A217F" w:rsidRDefault="00734E1D" w:rsidP="00734E1D">
      <w:pPr>
        <w:pStyle w:val="Titre4"/>
        <w:rPr>
          <w:rFonts w:asciiTheme="minorHAnsi" w:hAnsiTheme="minorHAnsi" w:cstheme="minorHAnsi"/>
          <w:sz w:val="20"/>
          <w:szCs w:val="20"/>
        </w:rPr>
      </w:pPr>
      <w:r w:rsidRPr="001A217F">
        <w:rPr>
          <w:rFonts w:asciiTheme="minorHAnsi" w:hAnsiTheme="minorHAnsi" w:cstheme="minorHAnsi"/>
          <w:sz w:val="20"/>
          <w:szCs w:val="20"/>
        </w:rPr>
        <w:t>3/LABELLISATION ENVIRONNEMENTALE DES PRESTATAIRES DE TRANSPORT</w:t>
      </w:r>
    </w:p>
    <w:p w14:paraId="439D3C45" w14:textId="77777777" w:rsidR="00734E1D" w:rsidRPr="001A217F" w:rsidRDefault="00734E1D" w:rsidP="00734E1D">
      <w:pPr>
        <w:rPr>
          <w:rFonts w:cstheme="minorHAnsi"/>
          <w:sz w:val="20"/>
          <w:szCs w:val="20"/>
        </w:rPr>
      </w:pPr>
    </w:p>
    <w:p w14:paraId="021E06F3"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Pour les prestations externalisées de transport routier réalisées dans le cadre du marché, le titulaire recourt, autant que possible, aux transporteurs détenteurs du label Objectif CO2 délivré dans le cadre du programme d’« Engagements Volontaires pour l’Environnement des acteurs de la chaîne logistique et du transport de voyageurs » (EVE) ou démontrant un niveau de performance équivalent.</w:t>
      </w:r>
    </w:p>
    <w:p w14:paraId="54FD509F"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p>
    <w:p w14:paraId="150AD462"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5B827E4E"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p>
    <w:p w14:paraId="383453D9"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 xml:space="preserve">Pour les prestations de transport maritime réalisées dans le cadre du marché, le titulaire recourt, autant que possible, aux armateurs détenteurs du label Green Marine Europe ou démontrant un niveau de </w:t>
      </w:r>
      <w:r w:rsidRPr="001A217F">
        <w:rPr>
          <w:rFonts w:asciiTheme="minorHAnsi" w:eastAsia="Times New Roman" w:hAnsiTheme="minorHAnsi" w:cstheme="minorHAnsi"/>
          <w:lang w:eastAsia="fr-FR"/>
        </w:rPr>
        <w:lastRenderedPageBreak/>
        <w:t>performance équivalent.</w:t>
      </w:r>
    </w:p>
    <w:p w14:paraId="4A8179AF"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p>
    <w:p w14:paraId="6425FDD9" w14:textId="77777777" w:rsidR="00734E1D" w:rsidRPr="001A217F" w:rsidRDefault="00734E1D" w:rsidP="00734E1D">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182DD6EE" w14:textId="77777777" w:rsidR="00734E1D" w:rsidRPr="001A217F" w:rsidRDefault="00734E1D" w:rsidP="00734E1D">
      <w:pPr>
        <w:pStyle w:val="RedTxt"/>
        <w:tabs>
          <w:tab w:val="left" w:pos="9070"/>
        </w:tabs>
        <w:rPr>
          <w:rFonts w:asciiTheme="minorHAnsi" w:hAnsiTheme="minorHAnsi" w:cstheme="minorHAnsi"/>
          <w:sz w:val="20"/>
          <w:szCs w:val="20"/>
        </w:rPr>
      </w:pPr>
    </w:p>
    <w:p w14:paraId="319B37A9" w14:textId="77777777" w:rsidR="00734E1D" w:rsidRPr="001A217F" w:rsidRDefault="00734E1D" w:rsidP="00734E1D">
      <w:pPr>
        <w:rPr>
          <w:rFonts w:cstheme="minorHAnsi"/>
          <w:sz w:val="20"/>
          <w:szCs w:val="20"/>
        </w:rPr>
      </w:pPr>
    </w:p>
    <w:p w14:paraId="2AB32803" w14:textId="77777777" w:rsidR="00734E1D" w:rsidRPr="001A217F" w:rsidRDefault="00734E1D" w:rsidP="00734E1D">
      <w:pPr>
        <w:pStyle w:val="Titre3"/>
        <w:numPr>
          <w:ilvl w:val="0"/>
          <w:numId w:val="10"/>
        </w:numPr>
        <w:rPr>
          <w:rFonts w:asciiTheme="minorHAnsi" w:hAnsiTheme="minorHAnsi" w:cstheme="minorHAnsi"/>
          <w:sz w:val="20"/>
          <w:szCs w:val="20"/>
        </w:rPr>
      </w:pPr>
      <w:bookmarkStart w:id="22" w:name="_Toc199226049"/>
      <w:bookmarkStart w:id="23" w:name="_Toc222900594"/>
      <w:r w:rsidRPr="001A217F">
        <w:rPr>
          <w:rFonts w:asciiTheme="minorHAnsi" w:hAnsiTheme="minorHAnsi" w:cstheme="minorHAnsi"/>
          <w:sz w:val="20"/>
          <w:szCs w:val="20"/>
        </w:rPr>
        <w:t>MODALITES DE LIVRAISON</w:t>
      </w:r>
      <w:bookmarkEnd w:id="22"/>
      <w:bookmarkEnd w:id="23"/>
      <w:r w:rsidRPr="001A217F">
        <w:rPr>
          <w:rFonts w:asciiTheme="minorHAnsi" w:hAnsiTheme="minorHAnsi" w:cstheme="minorHAnsi"/>
          <w:sz w:val="20"/>
          <w:szCs w:val="20"/>
        </w:rPr>
        <w:t xml:space="preserve"> </w:t>
      </w:r>
    </w:p>
    <w:p w14:paraId="3612B7DC" w14:textId="77777777" w:rsidR="00734E1D" w:rsidRPr="001A217F" w:rsidRDefault="00734E1D" w:rsidP="00734E1D">
      <w:pPr>
        <w:rPr>
          <w:rFonts w:cstheme="minorHAnsi"/>
          <w:sz w:val="20"/>
          <w:szCs w:val="20"/>
        </w:rPr>
      </w:pPr>
    </w:p>
    <w:p w14:paraId="07243251"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Les livraisons s’effectueront conformément aux bons de commandes émis par la Direction des achats et des approvisionnements OU par le pharmacien Responsable OU par la direction compétente du CH concerné et seront accompagnées d’un bordereau de livraison qui comportera les indications suivantes :</w:t>
      </w:r>
    </w:p>
    <w:p w14:paraId="12AAF42B" w14:textId="77777777" w:rsidR="00734E1D" w:rsidRPr="001A217F" w:rsidRDefault="00734E1D" w:rsidP="00734E1D">
      <w:pPr>
        <w:pStyle w:val="RedTxt"/>
        <w:tabs>
          <w:tab w:val="left" w:pos="9070"/>
        </w:tabs>
        <w:rPr>
          <w:rFonts w:asciiTheme="minorHAnsi" w:hAnsiTheme="minorHAnsi" w:cstheme="minorHAnsi"/>
          <w:sz w:val="20"/>
          <w:szCs w:val="20"/>
        </w:rPr>
      </w:pPr>
    </w:p>
    <w:p w14:paraId="4365C593"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Expéditeur / Destinataire</w:t>
      </w:r>
    </w:p>
    <w:p w14:paraId="32597BD5"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Lieu et date de livraison </w:t>
      </w:r>
    </w:p>
    <w:p w14:paraId="2DF075A5" w14:textId="77777777" w:rsidR="00734E1D" w:rsidRPr="001A217F" w:rsidRDefault="00734E1D" w:rsidP="00734E1D">
      <w:pPr>
        <w:pStyle w:val="Sansinterligne"/>
        <w:numPr>
          <w:ilvl w:val="0"/>
          <w:numId w:val="1"/>
        </w:numPr>
        <w:rPr>
          <w:rFonts w:cstheme="minorHAnsi"/>
          <w:sz w:val="20"/>
          <w:szCs w:val="20"/>
        </w:rPr>
      </w:pPr>
      <w:r w:rsidRPr="001A217F">
        <w:rPr>
          <w:rFonts w:cstheme="minorHAnsi"/>
          <w:sz w:val="20"/>
          <w:szCs w:val="20"/>
        </w:rPr>
        <w:t>Le numéro de l’</w:t>
      </w:r>
      <w:r w:rsidRPr="001A217F">
        <w:rPr>
          <w:rFonts w:cstheme="minorHAnsi"/>
          <w:bCs/>
          <w:sz w:val="20"/>
          <w:szCs w:val="20"/>
        </w:rPr>
        <w:t>accord-cadre à bons de commande</w:t>
      </w:r>
    </w:p>
    <w:p w14:paraId="7CDDF78E"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N° de commande du CHU </w:t>
      </w:r>
    </w:p>
    <w:p w14:paraId="6A6F00C3"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Désignation et référence de la fourniture</w:t>
      </w:r>
    </w:p>
    <w:p w14:paraId="3F7D348C" w14:textId="77777777" w:rsidR="00734E1D" w:rsidRPr="001A217F" w:rsidRDefault="00734E1D" w:rsidP="00734E1D">
      <w:pPr>
        <w:pStyle w:val="Sansinterligne"/>
        <w:numPr>
          <w:ilvl w:val="0"/>
          <w:numId w:val="1"/>
        </w:numPr>
        <w:rPr>
          <w:rFonts w:cstheme="minorHAnsi"/>
          <w:sz w:val="20"/>
          <w:szCs w:val="20"/>
        </w:rPr>
      </w:pPr>
      <w:r w:rsidRPr="001A217F">
        <w:rPr>
          <w:rFonts w:cstheme="minorHAnsi"/>
          <w:sz w:val="20"/>
          <w:szCs w:val="20"/>
        </w:rPr>
        <w:t>Quantité commandée</w:t>
      </w:r>
    </w:p>
    <w:p w14:paraId="4155B46D"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Quantité livrée</w:t>
      </w:r>
    </w:p>
    <w:p w14:paraId="0FF7A413" w14:textId="77777777" w:rsidR="00734E1D" w:rsidRPr="001A217F" w:rsidRDefault="00734E1D" w:rsidP="00734E1D">
      <w:pPr>
        <w:pStyle w:val="Sansinterligne"/>
        <w:numPr>
          <w:ilvl w:val="0"/>
          <w:numId w:val="1"/>
        </w:numPr>
        <w:rPr>
          <w:rFonts w:cstheme="minorHAnsi"/>
          <w:sz w:val="20"/>
          <w:szCs w:val="20"/>
        </w:rPr>
      </w:pPr>
      <w:r w:rsidRPr="001A217F">
        <w:rPr>
          <w:rFonts w:cstheme="minorHAnsi"/>
          <w:sz w:val="20"/>
          <w:szCs w:val="20"/>
        </w:rPr>
        <w:t>Conditionnement et sous-conditionnement</w:t>
      </w:r>
    </w:p>
    <w:p w14:paraId="2A5E24A7" w14:textId="77777777" w:rsidR="00734E1D" w:rsidRPr="001A217F" w:rsidRDefault="00734E1D" w:rsidP="00734E1D">
      <w:pPr>
        <w:pStyle w:val="Sansinterligne"/>
        <w:numPr>
          <w:ilvl w:val="0"/>
          <w:numId w:val="1"/>
        </w:numPr>
        <w:rPr>
          <w:rFonts w:cstheme="minorHAnsi"/>
          <w:sz w:val="20"/>
          <w:szCs w:val="20"/>
        </w:rPr>
      </w:pPr>
      <w:r w:rsidRPr="001A217F">
        <w:rPr>
          <w:rFonts w:cstheme="minorHAnsi"/>
          <w:sz w:val="20"/>
          <w:szCs w:val="20"/>
        </w:rPr>
        <w:t>Nom du transporteur</w:t>
      </w:r>
    </w:p>
    <w:p w14:paraId="78B0D389" w14:textId="77777777" w:rsidR="00734E1D" w:rsidRPr="001A217F" w:rsidRDefault="00734E1D" w:rsidP="00734E1D">
      <w:pPr>
        <w:pStyle w:val="Sansinterligne"/>
        <w:numPr>
          <w:ilvl w:val="0"/>
          <w:numId w:val="1"/>
        </w:numPr>
        <w:rPr>
          <w:rFonts w:cstheme="minorHAnsi"/>
          <w:sz w:val="20"/>
          <w:szCs w:val="20"/>
        </w:rPr>
      </w:pPr>
      <w:r w:rsidRPr="001A217F">
        <w:rPr>
          <w:rFonts w:cstheme="minorHAnsi"/>
          <w:sz w:val="20"/>
          <w:szCs w:val="20"/>
        </w:rPr>
        <w:t>Le prix d’engagement correspondant à l’</w:t>
      </w:r>
      <w:r w:rsidRPr="001A217F">
        <w:rPr>
          <w:rFonts w:cstheme="minorHAnsi"/>
          <w:bCs/>
          <w:sz w:val="20"/>
          <w:szCs w:val="20"/>
        </w:rPr>
        <w:t>accord-cadre à bons de commande</w:t>
      </w:r>
    </w:p>
    <w:p w14:paraId="32B029CE" w14:textId="77777777" w:rsidR="00734E1D" w:rsidRPr="001A217F" w:rsidRDefault="00734E1D" w:rsidP="00734E1D">
      <w:pPr>
        <w:pStyle w:val="Sansinterligne"/>
        <w:numPr>
          <w:ilvl w:val="0"/>
          <w:numId w:val="1"/>
        </w:numPr>
        <w:rPr>
          <w:rFonts w:cstheme="minorHAnsi"/>
          <w:sz w:val="20"/>
          <w:szCs w:val="20"/>
        </w:rPr>
      </w:pPr>
      <w:r w:rsidRPr="001A217F">
        <w:rPr>
          <w:rFonts w:cstheme="minorHAnsi"/>
          <w:sz w:val="20"/>
          <w:szCs w:val="20"/>
        </w:rPr>
        <w:t>L’adresse de facturation</w:t>
      </w:r>
    </w:p>
    <w:p w14:paraId="2B408134"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Le numéro du lot de fabrication ou de série ;</w:t>
      </w:r>
    </w:p>
    <w:p w14:paraId="64A978A9"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La référence du produit en tout point identique à celle figurant sur l'offre de prix, sur la facture, sur le produit et sur le catalogue du fournisseur ;</w:t>
      </w:r>
    </w:p>
    <w:p w14:paraId="5486E441" w14:textId="77777777" w:rsidR="00734E1D" w:rsidRPr="001A217F" w:rsidRDefault="00734E1D" w:rsidP="00734E1D">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La date de péremption</w:t>
      </w:r>
    </w:p>
    <w:p w14:paraId="55EF6AED" w14:textId="77777777" w:rsidR="00734E1D" w:rsidRPr="001A217F" w:rsidRDefault="00734E1D" w:rsidP="00734E1D">
      <w:pPr>
        <w:pStyle w:val="RedTxt"/>
        <w:tabs>
          <w:tab w:val="left" w:pos="2649"/>
          <w:tab w:val="left" w:pos="9070"/>
        </w:tabs>
        <w:rPr>
          <w:rFonts w:asciiTheme="minorHAnsi" w:hAnsiTheme="minorHAnsi" w:cstheme="minorHAnsi"/>
          <w:sz w:val="20"/>
          <w:szCs w:val="20"/>
        </w:rPr>
      </w:pPr>
    </w:p>
    <w:p w14:paraId="5CE5F3B7"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 double du bon de livraison, signé par le réceptionnaire, vaudra procès-verbal de réception.</w:t>
      </w:r>
    </w:p>
    <w:p w14:paraId="7CC3A9B7"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Le déchargement de la marchandise devra être fait par le transporteur. </w:t>
      </w:r>
    </w:p>
    <w:p w14:paraId="7952C371" w14:textId="77777777" w:rsidR="00734E1D" w:rsidRPr="001A217F" w:rsidRDefault="00734E1D" w:rsidP="00734E1D">
      <w:pPr>
        <w:pStyle w:val="RedTxt"/>
        <w:tabs>
          <w:tab w:val="left" w:pos="9070"/>
        </w:tabs>
        <w:rPr>
          <w:rFonts w:asciiTheme="minorHAnsi" w:hAnsiTheme="minorHAnsi" w:cstheme="minorHAnsi"/>
          <w:sz w:val="20"/>
          <w:szCs w:val="20"/>
        </w:rPr>
      </w:pPr>
    </w:p>
    <w:p w14:paraId="7720D0E4"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 titulaire est réputé connaître les règles de fonctionnement de l'établissement et accepte toute contrainte de nature à affecter les opérations de livraison.</w:t>
      </w:r>
    </w:p>
    <w:p w14:paraId="40FAAAFF" w14:textId="77777777" w:rsidR="00734E1D" w:rsidRPr="001A217F" w:rsidRDefault="00734E1D" w:rsidP="00734E1D">
      <w:pPr>
        <w:pStyle w:val="RedPara"/>
        <w:tabs>
          <w:tab w:val="left" w:pos="9070"/>
        </w:tabs>
        <w:spacing w:before="0" w:after="0"/>
        <w:jc w:val="both"/>
        <w:rPr>
          <w:rFonts w:asciiTheme="minorHAnsi" w:hAnsiTheme="minorHAnsi" w:cstheme="minorHAnsi"/>
          <w:b w:val="0"/>
          <w:bCs w:val="0"/>
          <w:i/>
          <w:color w:val="FF0000"/>
          <w:sz w:val="20"/>
          <w:szCs w:val="20"/>
        </w:rPr>
      </w:pPr>
    </w:p>
    <w:p w14:paraId="6B7ECF54"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Conformément aux dispositions de l’article 21.1 du C</w:t>
      </w:r>
      <w:r>
        <w:rPr>
          <w:rFonts w:asciiTheme="minorHAnsi" w:hAnsiTheme="minorHAnsi" w:cstheme="minorHAnsi"/>
          <w:sz w:val="20"/>
          <w:szCs w:val="20"/>
        </w:rPr>
        <w:t>CAG FCS</w:t>
      </w:r>
      <w:r w:rsidRPr="001A217F">
        <w:rPr>
          <w:rFonts w:asciiTheme="minorHAnsi" w:hAnsiTheme="minorHAnsi" w:cstheme="minorHAnsi"/>
          <w:sz w:val="20"/>
          <w:szCs w:val="20"/>
        </w:rPr>
        <w:t xml:space="preserve"> le titulaire veille à l'impact environnemental des livraisons et du transport des produits proposés. </w:t>
      </w:r>
    </w:p>
    <w:p w14:paraId="7AE4A96C" w14:textId="77777777" w:rsidR="00734E1D" w:rsidRPr="001A217F" w:rsidRDefault="00734E1D" w:rsidP="00734E1D">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La planification du transport de ces marchandises doit permettre, </w:t>
      </w:r>
      <w:r w:rsidRPr="001A217F">
        <w:rPr>
          <w:rFonts w:asciiTheme="minorHAnsi" w:hAnsiTheme="minorHAnsi" w:cstheme="minorHAnsi"/>
          <w:b/>
          <w:sz w:val="20"/>
          <w:szCs w:val="20"/>
          <w:u w:val="single"/>
        </w:rPr>
        <w:t>lorsque cela est compatible avec les besoins de l'acheteur</w:t>
      </w:r>
      <w:r w:rsidRPr="001A217F">
        <w:rPr>
          <w:rFonts w:asciiTheme="minorHAnsi" w:hAnsiTheme="minorHAnsi" w:cstheme="minorHAnsi"/>
          <w:sz w:val="20"/>
          <w:szCs w:val="20"/>
        </w:rPr>
        <w:t xml:space="preserve">, d'éviter la circulation pendant les heures de pointe. Le titulaire privilégie le transport groupé des marchandises objets du marché afin de réduire les déplacements des véhicules de livraison. </w:t>
      </w:r>
    </w:p>
    <w:p w14:paraId="31448142" w14:textId="77777777" w:rsidR="00734E1D" w:rsidRPr="001A217F" w:rsidRDefault="00734E1D" w:rsidP="00734E1D">
      <w:pPr>
        <w:pStyle w:val="RedPara"/>
        <w:tabs>
          <w:tab w:val="left" w:pos="9070"/>
        </w:tabs>
        <w:spacing w:before="0" w:after="0"/>
        <w:jc w:val="both"/>
        <w:rPr>
          <w:rFonts w:asciiTheme="minorHAnsi" w:hAnsiTheme="minorHAnsi" w:cstheme="minorHAnsi"/>
          <w:b w:val="0"/>
          <w:bCs w:val="0"/>
          <w:i/>
          <w:color w:val="FF0000"/>
          <w:sz w:val="20"/>
          <w:szCs w:val="20"/>
        </w:rPr>
      </w:pPr>
    </w:p>
    <w:p w14:paraId="2C1F7F8B" w14:textId="77777777" w:rsidR="00734E1D" w:rsidRPr="001A217F" w:rsidRDefault="00734E1D" w:rsidP="00734E1D">
      <w:pPr>
        <w:rPr>
          <w:rFonts w:cstheme="minorHAnsi"/>
          <w:sz w:val="20"/>
          <w:szCs w:val="20"/>
        </w:rPr>
      </w:pPr>
      <w:r w:rsidRPr="001A217F">
        <w:rPr>
          <w:rFonts w:cstheme="minorHAnsi"/>
          <w:sz w:val="20"/>
          <w:szCs w:val="20"/>
        </w:rPr>
        <w:t>Les livraisons s'effectueront du lundi au vendredi de 7H30 à 13H00.</w:t>
      </w:r>
    </w:p>
    <w:p w14:paraId="4F6CC4AC" w14:textId="77777777" w:rsidR="00734E1D" w:rsidRPr="001A217F" w:rsidRDefault="00734E1D" w:rsidP="00734E1D">
      <w:pPr>
        <w:rPr>
          <w:rFonts w:cstheme="minorHAnsi"/>
          <w:sz w:val="20"/>
          <w:szCs w:val="20"/>
        </w:rPr>
      </w:pPr>
      <w:bookmarkStart w:id="24" w:name="_Toc522776836"/>
      <w:r w:rsidRPr="001A217F">
        <w:rPr>
          <w:rFonts w:cstheme="minorHAnsi"/>
          <w:sz w:val="20"/>
          <w:szCs w:val="20"/>
        </w:rPr>
        <w:t>Conditions particulières concernant les Dispositifs Médicaux Stériles Implantables</w:t>
      </w:r>
      <w:bookmarkEnd w:id="24"/>
      <w:r w:rsidRPr="001A217F">
        <w:rPr>
          <w:rFonts w:cstheme="minorHAnsi"/>
          <w:sz w:val="20"/>
          <w:szCs w:val="20"/>
        </w:rPr>
        <w:t> : Les livraisons doivent impérativement être effectuées le lendemain de la commande avant 10 heures</w:t>
      </w:r>
    </w:p>
    <w:p w14:paraId="1AC1D7C6" w14:textId="77777777" w:rsidR="00734E1D" w:rsidRPr="001A217F" w:rsidRDefault="00734E1D" w:rsidP="00734E1D">
      <w:pPr>
        <w:rPr>
          <w:rFonts w:cstheme="minorHAnsi"/>
          <w:sz w:val="20"/>
          <w:szCs w:val="20"/>
        </w:rPr>
      </w:pPr>
      <w:r w:rsidRPr="001A217F">
        <w:rPr>
          <w:rFonts w:cstheme="minorHAnsi"/>
          <w:sz w:val="20"/>
          <w:szCs w:val="20"/>
        </w:rPr>
        <w:t>Exceptionnellement, en cas d'urgence elles pourront intervenir après autorisation du Pharmacien Responsable, l'après-midi ou le samedi matin, de 8H à 12H.</w:t>
      </w:r>
    </w:p>
    <w:p w14:paraId="43820423" w14:textId="43DCB474" w:rsidR="005B3F58" w:rsidRDefault="00734E1D" w:rsidP="000912BF">
      <w:pPr>
        <w:keepLines/>
        <w:widowControl w:val="0"/>
        <w:autoSpaceDE w:val="0"/>
        <w:autoSpaceDN w:val="0"/>
        <w:adjustRightInd w:val="0"/>
        <w:jc w:val="both"/>
        <w:rPr>
          <w:rFonts w:cstheme="minorHAnsi"/>
        </w:rPr>
      </w:pPr>
      <w:r w:rsidRPr="001A217F">
        <w:rPr>
          <w:rFonts w:cstheme="minorHAnsi"/>
          <w:sz w:val="20"/>
          <w:szCs w:val="20"/>
        </w:rPr>
        <w:t>En cas de stricte urgence du fait de l’acheteur et pour les produits pouvant faire l’objet de demande imprévisible (médicaments dérivés du sang, produits d'utilisation ponctuelle d</w:t>
      </w:r>
      <w:r>
        <w:rPr>
          <w:rFonts w:cstheme="minorHAnsi"/>
          <w:sz w:val="20"/>
          <w:szCs w:val="20"/>
        </w:rPr>
        <w:t>ans des situations d'urgence…).</w:t>
      </w:r>
      <w:r w:rsidR="005B3F58">
        <w:rPr>
          <w:rFonts w:cstheme="minorHAnsi"/>
        </w:rPr>
        <w:br w:type="page"/>
      </w:r>
    </w:p>
    <w:p w14:paraId="7D05BE88" w14:textId="08F6D9D2" w:rsidR="003F4750" w:rsidRPr="00734E1D" w:rsidRDefault="003F4750" w:rsidP="00734E1D">
      <w:pPr>
        <w:jc w:val="both"/>
        <w:rPr>
          <w:rFonts w:cstheme="minorHAnsi"/>
        </w:rPr>
      </w:pPr>
    </w:p>
    <w:p w14:paraId="42D432C9" w14:textId="72B67D92" w:rsidR="005B3F58" w:rsidRPr="005B3F58" w:rsidRDefault="005B3F58" w:rsidP="005B3F58">
      <w:pPr>
        <w:pStyle w:val="Titre2"/>
        <w:numPr>
          <w:ilvl w:val="0"/>
          <w:numId w:val="8"/>
        </w:numPr>
        <w:jc w:val="both"/>
        <w:rPr>
          <w:rFonts w:asciiTheme="minorHAnsi" w:hAnsiTheme="minorHAnsi" w:cstheme="minorHAnsi"/>
          <w:noProof/>
          <w:sz w:val="20"/>
          <w:szCs w:val="20"/>
          <w:u w:val="single"/>
          <w:lang w:eastAsia="fr-FR"/>
        </w:rPr>
      </w:pPr>
      <w:bookmarkStart w:id="25" w:name="_Toc199226050"/>
      <w:bookmarkStart w:id="26" w:name="_Toc222900595"/>
      <w:r w:rsidRPr="001A217F">
        <w:rPr>
          <w:rFonts w:cstheme="minorHAnsi"/>
          <w:noProof/>
          <w:sz w:val="20"/>
          <w:szCs w:val="20"/>
          <w:lang w:eastAsia="fr-FR"/>
        </w:rPr>
        <w:drawing>
          <wp:anchor distT="0" distB="0" distL="114300" distR="114300" simplePos="0" relativeHeight="251678720" behindDoc="1" locked="0" layoutInCell="1" allowOverlap="1" wp14:anchorId="60847F8A" wp14:editId="0503A2E8">
            <wp:simplePos x="0" y="0"/>
            <wp:positionH relativeFrom="margin">
              <wp:posOffset>4989150</wp:posOffset>
            </wp:positionH>
            <wp:positionV relativeFrom="paragraph">
              <wp:posOffset>11991</wp:posOffset>
            </wp:positionV>
            <wp:extent cx="641985" cy="836930"/>
            <wp:effectExtent l="0" t="0" r="5715" b="1270"/>
            <wp:wrapTight wrapText="bothSides">
              <wp:wrapPolygon edited="0">
                <wp:start x="0" y="0"/>
                <wp:lineTo x="0" y="21141"/>
                <wp:lineTo x="21151" y="21141"/>
                <wp:lineTo x="21151"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r w:rsidRPr="001A217F">
        <w:rPr>
          <w:rFonts w:asciiTheme="minorHAnsi" w:hAnsiTheme="minorHAnsi" w:cstheme="minorHAnsi"/>
          <w:sz w:val="20"/>
          <w:szCs w:val="20"/>
          <w:u w:val="single"/>
        </w:rPr>
        <w:t>Les obligations en matière de déchets</w:t>
      </w:r>
      <w:bookmarkEnd w:id="25"/>
      <w:bookmarkEnd w:id="26"/>
    </w:p>
    <w:p w14:paraId="510E032C" w14:textId="287A141D" w:rsidR="005B3F58" w:rsidRDefault="005B3F58" w:rsidP="005B3F58">
      <w:pPr>
        <w:pStyle w:val="RedTxt"/>
        <w:tabs>
          <w:tab w:val="left" w:pos="9070"/>
        </w:tabs>
        <w:rPr>
          <w:rFonts w:asciiTheme="minorHAnsi" w:hAnsiTheme="minorHAnsi" w:cstheme="minorHAnsi"/>
          <w:sz w:val="20"/>
          <w:szCs w:val="20"/>
        </w:rPr>
      </w:pPr>
    </w:p>
    <w:p w14:paraId="5CCA1A83" w14:textId="398C2902" w:rsidR="005B3F58" w:rsidRPr="001A217F" w:rsidRDefault="005B3F58" w:rsidP="005B3F58">
      <w:pPr>
        <w:pStyle w:val="RedTxt"/>
        <w:tabs>
          <w:tab w:val="left" w:pos="9070"/>
        </w:tabs>
        <w:rPr>
          <w:rFonts w:asciiTheme="minorHAnsi" w:hAnsiTheme="minorHAnsi" w:cstheme="minorHAnsi"/>
          <w:i/>
          <w:sz w:val="20"/>
          <w:szCs w:val="20"/>
        </w:rPr>
      </w:pPr>
      <w:r w:rsidRPr="001A217F">
        <w:rPr>
          <w:rFonts w:asciiTheme="minorHAnsi" w:hAnsiTheme="minorHAnsi" w:cstheme="minorHAnsi"/>
          <w:sz w:val="20"/>
          <w:szCs w:val="20"/>
        </w:rPr>
        <w:t>Le déchet est défini, au niveau européen, comme</w:t>
      </w:r>
      <w:r w:rsidRPr="001A217F">
        <w:rPr>
          <w:rFonts w:asciiTheme="minorHAnsi" w:hAnsiTheme="minorHAnsi" w:cstheme="minorHAnsi"/>
          <w:i/>
          <w:sz w:val="20"/>
          <w:szCs w:val="20"/>
        </w:rPr>
        <w:t xml:space="preserve"> « toute substance ou tout objet dont le détenteur se défait ou dont il a l'intention ou l'obligation de se défaire ».</w:t>
      </w:r>
    </w:p>
    <w:p w14:paraId="42C9700F" w14:textId="5ECF8B62" w:rsidR="005B3F58" w:rsidRPr="001A217F" w:rsidRDefault="005B3F58" w:rsidP="005B3F58">
      <w:pPr>
        <w:rPr>
          <w:rFonts w:cstheme="minorHAnsi"/>
          <w:sz w:val="20"/>
          <w:szCs w:val="20"/>
        </w:rPr>
      </w:pPr>
    </w:p>
    <w:p w14:paraId="44DCBC1A" w14:textId="77777777" w:rsidR="005B3F58" w:rsidRPr="001A217F" w:rsidRDefault="005B3F58" w:rsidP="005B3F58">
      <w:pPr>
        <w:pStyle w:val="Titre3"/>
        <w:numPr>
          <w:ilvl w:val="0"/>
          <w:numId w:val="11"/>
        </w:numPr>
        <w:rPr>
          <w:rFonts w:asciiTheme="minorHAnsi" w:hAnsiTheme="minorHAnsi" w:cstheme="minorHAnsi"/>
          <w:sz w:val="20"/>
          <w:szCs w:val="20"/>
        </w:rPr>
      </w:pPr>
      <w:bookmarkStart w:id="27" w:name="_Toc146015011"/>
      <w:bookmarkStart w:id="28" w:name="_Toc199226051"/>
      <w:bookmarkStart w:id="29" w:name="_Toc222900596"/>
      <w:r w:rsidRPr="001A217F">
        <w:rPr>
          <w:rFonts w:asciiTheme="minorHAnsi" w:hAnsiTheme="minorHAnsi" w:cstheme="minorHAnsi"/>
          <w:sz w:val="20"/>
          <w:szCs w:val="20"/>
        </w:rPr>
        <w:t>Obligations générales en matière de gestion des déchets</w:t>
      </w:r>
      <w:bookmarkEnd w:id="27"/>
      <w:bookmarkEnd w:id="28"/>
      <w:bookmarkEnd w:id="29"/>
      <w:r w:rsidRPr="001A217F">
        <w:rPr>
          <w:rFonts w:asciiTheme="minorHAnsi" w:hAnsiTheme="minorHAnsi" w:cstheme="minorHAnsi"/>
          <w:sz w:val="20"/>
          <w:szCs w:val="20"/>
        </w:rPr>
        <w:t xml:space="preserve"> </w:t>
      </w:r>
    </w:p>
    <w:p w14:paraId="63290450" w14:textId="77777777" w:rsidR="005B3F58" w:rsidRPr="001A217F" w:rsidRDefault="005B3F58" w:rsidP="005B3F58">
      <w:pPr>
        <w:rPr>
          <w:rFonts w:cstheme="minorHAnsi"/>
          <w:sz w:val="20"/>
          <w:szCs w:val="20"/>
        </w:rPr>
      </w:pPr>
    </w:p>
    <w:p w14:paraId="37976D38" w14:textId="77777777" w:rsidR="005B3F58" w:rsidRPr="001A217F" w:rsidRDefault="005B3F58" w:rsidP="005B3F58">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En application des dispositions de l’article 20.4 du CCAG FCS, </w:t>
      </w:r>
      <w:r w:rsidRPr="001A217F">
        <w:rPr>
          <w:rFonts w:asciiTheme="minorHAnsi" w:hAnsiTheme="minorHAnsi" w:cstheme="minorHAnsi"/>
          <w:b/>
          <w:sz w:val="20"/>
          <w:szCs w:val="20"/>
        </w:rPr>
        <w:t>la valorisation ou l’élimination des déchets créés lors de l’exécution des prestations est de la responsabilité du titulaire pendant la durée du marché</w:t>
      </w:r>
      <w:r w:rsidRPr="001A217F">
        <w:rPr>
          <w:rFonts w:asciiTheme="minorHAnsi" w:hAnsiTheme="minorHAnsi" w:cstheme="minorHAnsi"/>
          <w:sz w:val="20"/>
          <w:szCs w:val="20"/>
        </w:rPr>
        <w:t>.</w:t>
      </w:r>
    </w:p>
    <w:p w14:paraId="4745D65C" w14:textId="77777777" w:rsidR="005B3F58" w:rsidRPr="001A217F" w:rsidRDefault="005B3F58" w:rsidP="005B3F58">
      <w:pPr>
        <w:pStyle w:val="RedTxt"/>
        <w:tabs>
          <w:tab w:val="left" w:pos="9070"/>
        </w:tabs>
        <w:rPr>
          <w:rFonts w:asciiTheme="minorHAnsi" w:hAnsiTheme="minorHAnsi" w:cstheme="minorHAnsi"/>
          <w:sz w:val="20"/>
          <w:szCs w:val="20"/>
        </w:rPr>
      </w:pPr>
    </w:p>
    <w:p w14:paraId="5D3D592B" w14:textId="77777777" w:rsidR="005B3F58" w:rsidRPr="001A217F" w:rsidRDefault="005B3F58" w:rsidP="005B3F58">
      <w:pPr>
        <w:pStyle w:val="RedTxt"/>
        <w:tabs>
          <w:tab w:val="left" w:pos="9070"/>
        </w:tabs>
        <w:rPr>
          <w:rFonts w:asciiTheme="minorHAnsi" w:hAnsiTheme="minorHAnsi" w:cstheme="minorHAnsi"/>
          <w:i/>
          <w:color w:val="000000"/>
          <w:sz w:val="20"/>
          <w:szCs w:val="20"/>
          <w:shd w:val="clear" w:color="auto" w:fill="FFFFFF"/>
        </w:rPr>
      </w:pPr>
      <w:r w:rsidRPr="001A217F">
        <w:rPr>
          <w:rFonts w:asciiTheme="minorHAnsi" w:hAnsiTheme="minorHAnsi" w:cstheme="minorHAnsi"/>
          <w:b/>
          <w:sz w:val="20"/>
          <w:szCs w:val="20"/>
        </w:rPr>
        <w:t>Conformément à l'</w:t>
      </w:r>
      <w:hyperlink r:id="rId18" w:tgtFrame="_blank" w:history="1">
        <w:r w:rsidRPr="001A217F">
          <w:rPr>
            <w:rFonts w:asciiTheme="minorHAnsi" w:hAnsiTheme="minorHAnsi" w:cstheme="minorHAnsi"/>
            <w:b/>
            <w:sz w:val="20"/>
            <w:szCs w:val="20"/>
          </w:rPr>
          <w:t>article L. 541-2 du code de l'environnement,</w:t>
        </w:r>
      </w:hyperlink>
      <w:r w:rsidRPr="001A217F">
        <w:rPr>
          <w:rFonts w:asciiTheme="minorHAnsi" w:hAnsiTheme="minorHAnsi" w:cstheme="minorHAnsi"/>
          <w:sz w:val="20"/>
          <w:szCs w:val="20"/>
        </w:rPr>
        <w:t xml:space="preserve"> </w:t>
      </w:r>
      <w:r w:rsidRPr="001A217F">
        <w:rPr>
          <w:rFonts w:asciiTheme="minorHAnsi" w:hAnsiTheme="minorHAnsi" w:cstheme="minorHAnsi"/>
          <w:i/>
          <w:sz w:val="20"/>
          <w:szCs w:val="20"/>
        </w:rPr>
        <w:t>« Tout producteur ou détenteur de déchets est responsable de la gestion de ces déchets jusqu'à leur élimination ou valorisation finale, même lorsque le déchet est transféré à des fins de traitement à un tiers.</w:t>
      </w:r>
      <w:r w:rsidRPr="001A217F">
        <w:rPr>
          <w:rFonts w:asciiTheme="minorHAnsi" w:hAnsiTheme="minorHAnsi" w:cstheme="minorHAnsi"/>
          <w:i/>
          <w:color w:val="000000"/>
          <w:sz w:val="20"/>
          <w:szCs w:val="20"/>
          <w:shd w:val="clear" w:color="auto" w:fill="FFFFFF"/>
        </w:rPr>
        <w:t> »</w:t>
      </w:r>
    </w:p>
    <w:p w14:paraId="1592A6FB" w14:textId="77777777" w:rsidR="005B3F58" w:rsidRPr="001A217F" w:rsidRDefault="005B3F58" w:rsidP="005B3F58">
      <w:pPr>
        <w:pStyle w:val="RedTxt"/>
        <w:tabs>
          <w:tab w:val="left" w:pos="9070"/>
        </w:tabs>
        <w:rPr>
          <w:rFonts w:asciiTheme="minorHAnsi" w:hAnsiTheme="minorHAnsi" w:cstheme="minorHAnsi"/>
          <w:i/>
          <w:sz w:val="20"/>
          <w:szCs w:val="20"/>
        </w:rPr>
      </w:pPr>
    </w:p>
    <w:p w14:paraId="361CB54A" w14:textId="77777777" w:rsidR="005B3F58" w:rsidRPr="001A217F" w:rsidRDefault="005B3F58" w:rsidP="005B3F58">
      <w:pPr>
        <w:pStyle w:val="NormalWeb"/>
        <w:shd w:val="clear" w:color="auto" w:fill="FFFFFF"/>
        <w:spacing w:after="180"/>
        <w:jc w:val="both"/>
        <w:rPr>
          <w:rFonts w:asciiTheme="minorHAnsi" w:eastAsia="Times New Roman" w:hAnsiTheme="minorHAnsi" w:cstheme="minorHAnsi"/>
          <w:sz w:val="20"/>
          <w:szCs w:val="20"/>
        </w:rPr>
      </w:pPr>
      <w:r w:rsidRPr="001A217F">
        <w:rPr>
          <w:rFonts w:asciiTheme="minorHAnsi" w:eastAsia="Times New Roman" w:hAnsiTheme="minorHAnsi" w:cstheme="minorHAnsi"/>
          <w:sz w:val="20"/>
          <w:szCs w:val="20"/>
        </w:rPr>
        <w:t xml:space="preserve">A ce titre, le titulaire du marché s’engage à </w:t>
      </w:r>
    </w:p>
    <w:p w14:paraId="0663A404" w14:textId="77777777" w:rsidR="005B3F58" w:rsidRPr="001A217F" w:rsidRDefault="005B3F58" w:rsidP="005B3F58">
      <w:pPr>
        <w:pStyle w:val="NormalWeb"/>
        <w:numPr>
          <w:ilvl w:val="0"/>
          <w:numId w:val="3"/>
        </w:numPr>
        <w:shd w:val="clear" w:color="auto" w:fill="FFFFFF"/>
        <w:spacing w:after="180" w:line="240" w:lineRule="auto"/>
        <w:jc w:val="both"/>
        <w:rPr>
          <w:rFonts w:asciiTheme="minorHAnsi" w:eastAsia="Times New Roman" w:hAnsiTheme="minorHAnsi" w:cstheme="minorHAnsi"/>
          <w:sz w:val="20"/>
          <w:szCs w:val="20"/>
        </w:rPr>
      </w:pPr>
      <w:r w:rsidRPr="001A217F">
        <w:rPr>
          <w:rFonts w:asciiTheme="minorHAnsi" w:eastAsia="Times New Roman" w:hAnsiTheme="minorHAnsi" w:cstheme="minorHAnsi"/>
          <w:sz w:val="20"/>
          <w:szCs w:val="20"/>
        </w:rPr>
        <w:t>Enlever à titre non onéreux, ou à faire enlever à titre non onéreux, les déchets issus de l’exécution du marché ;</w:t>
      </w:r>
    </w:p>
    <w:p w14:paraId="3797CF8C" w14:textId="77777777" w:rsidR="005B3F58" w:rsidRPr="001A217F" w:rsidRDefault="005B3F58" w:rsidP="005B3F58">
      <w:pPr>
        <w:pStyle w:val="NormalWeb"/>
        <w:numPr>
          <w:ilvl w:val="0"/>
          <w:numId w:val="3"/>
        </w:numPr>
        <w:shd w:val="clear" w:color="auto" w:fill="FFFFFF"/>
        <w:spacing w:after="180" w:line="240" w:lineRule="auto"/>
        <w:jc w:val="both"/>
        <w:rPr>
          <w:rFonts w:asciiTheme="minorHAnsi" w:eastAsia="Times New Roman" w:hAnsiTheme="minorHAnsi" w:cstheme="minorHAnsi"/>
          <w:sz w:val="20"/>
          <w:szCs w:val="20"/>
        </w:rPr>
      </w:pPr>
      <w:r w:rsidRPr="001A217F">
        <w:rPr>
          <w:rFonts w:asciiTheme="minorHAnsi" w:eastAsia="Times New Roman" w:hAnsiTheme="minorHAnsi" w:cstheme="minorHAnsi"/>
          <w:sz w:val="20"/>
          <w:szCs w:val="20"/>
        </w:rPr>
        <w:t>Assurer ou à faire assurer la valorisation ou l’élimination des déchets considérés conformément à la réglementation en vigueur ;</w:t>
      </w:r>
    </w:p>
    <w:p w14:paraId="5601FA23" w14:textId="07F0D821" w:rsidR="005B3F58" w:rsidRPr="001A217F" w:rsidRDefault="005B3F58" w:rsidP="005B3F58">
      <w:pPr>
        <w:pStyle w:val="NormalWeb"/>
        <w:shd w:val="clear" w:color="auto" w:fill="FFFFFF"/>
        <w:spacing w:after="180" w:line="240" w:lineRule="auto"/>
        <w:jc w:val="both"/>
        <w:rPr>
          <w:rFonts w:asciiTheme="minorHAnsi" w:eastAsia="Times New Roman" w:hAnsiTheme="minorHAnsi" w:cstheme="minorHAnsi"/>
          <w:sz w:val="20"/>
          <w:szCs w:val="20"/>
        </w:rPr>
      </w:pPr>
      <w:r w:rsidRPr="001A217F">
        <w:rPr>
          <w:rFonts w:asciiTheme="minorHAnsi" w:hAnsiTheme="minorHAnsi" w:cstheme="minorHAnsi"/>
          <w:sz w:val="20"/>
          <w:szCs w:val="20"/>
        </w:rPr>
        <w:t xml:space="preserve">En cas de non-respect, le titulaire se verra appliquer, après mise en demeure restée infructueuse, une pénalité dont le montant est fixé à </w:t>
      </w:r>
      <w:r w:rsidR="00B94A42">
        <w:rPr>
          <w:rFonts w:asciiTheme="minorHAnsi" w:hAnsiTheme="minorHAnsi" w:cstheme="minorHAnsi"/>
          <w:sz w:val="20"/>
          <w:szCs w:val="20"/>
        </w:rPr>
        <w:t>50</w:t>
      </w:r>
      <w:r w:rsidRPr="001A217F">
        <w:rPr>
          <w:rFonts w:asciiTheme="minorHAnsi" w:hAnsiTheme="minorHAnsi" w:cstheme="minorHAnsi"/>
          <w:sz w:val="20"/>
          <w:szCs w:val="20"/>
        </w:rPr>
        <w:t xml:space="preserve"> euros par manquements constatés</w:t>
      </w:r>
    </w:p>
    <w:p w14:paraId="24E5E71C" w14:textId="77777777" w:rsidR="005B3F58" w:rsidRPr="001A217F" w:rsidRDefault="005B3F58" w:rsidP="005B3F58">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Il est formellement interdit au titulaire de déposer ses déchets au sein des différents établissements du CHU ou des établissements parties du GHT.</w:t>
      </w:r>
    </w:p>
    <w:p w14:paraId="22DFE135" w14:textId="77777777" w:rsidR="005B3F58" w:rsidRPr="001A217F" w:rsidRDefault="005B3F58" w:rsidP="005B3F58">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Les dépôts sauvages sont strictement interdits et seront sanctionnés par une pénalité de 1500 € par dépôts constatés.</w:t>
      </w:r>
    </w:p>
    <w:p w14:paraId="01CF8566" w14:textId="77777777" w:rsidR="005B3F58" w:rsidRPr="001A217F" w:rsidRDefault="005B3F58" w:rsidP="005B3F58">
      <w:pPr>
        <w:pStyle w:val="RedTxt"/>
        <w:tabs>
          <w:tab w:val="left" w:pos="9070"/>
        </w:tabs>
        <w:rPr>
          <w:rFonts w:asciiTheme="minorHAnsi" w:hAnsiTheme="minorHAnsi" w:cstheme="minorHAnsi"/>
          <w:sz w:val="20"/>
          <w:szCs w:val="20"/>
        </w:rPr>
      </w:pPr>
    </w:p>
    <w:p w14:paraId="113D570D" w14:textId="77777777" w:rsidR="005B3F58" w:rsidRPr="001A217F" w:rsidRDefault="005B3F58" w:rsidP="005B3F58">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9413BA7" w14:textId="77777777" w:rsidR="005B3F58" w:rsidRPr="001A217F" w:rsidRDefault="005B3F58" w:rsidP="005B3F58">
      <w:pPr>
        <w:pStyle w:val="RedTxt"/>
        <w:tabs>
          <w:tab w:val="left" w:pos="9070"/>
        </w:tabs>
        <w:rPr>
          <w:rFonts w:asciiTheme="minorHAnsi" w:hAnsiTheme="minorHAnsi" w:cstheme="minorHAnsi"/>
          <w:sz w:val="20"/>
          <w:szCs w:val="20"/>
        </w:rPr>
      </w:pPr>
    </w:p>
    <w:p w14:paraId="569A73C5" w14:textId="1119C7C0" w:rsidR="005B3F58" w:rsidRDefault="005B3F58" w:rsidP="005B3F58">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La non-transmission de ces justificatifs, dans un délai de 30 jours suivant la demande de l’acheteur, sera passible de l’application d’une pénalité de 100 euros par jour de retard.</w:t>
      </w:r>
    </w:p>
    <w:p w14:paraId="2510BDC9" w14:textId="4CCB8E5B" w:rsidR="005B3F58" w:rsidRDefault="005B3F58" w:rsidP="005B3F58">
      <w:pPr>
        <w:pStyle w:val="NormalWeb"/>
        <w:tabs>
          <w:tab w:val="left" w:pos="9070"/>
        </w:tabs>
        <w:spacing w:after="0"/>
        <w:jc w:val="both"/>
        <w:rPr>
          <w:rFonts w:asciiTheme="minorHAnsi" w:hAnsiTheme="minorHAnsi" w:cstheme="minorHAnsi"/>
          <w:sz w:val="20"/>
          <w:szCs w:val="20"/>
        </w:rPr>
      </w:pPr>
    </w:p>
    <w:p w14:paraId="38210CD4" w14:textId="3285FD81" w:rsidR="005B3F58" w:rsidRDefault="005B3F58" w:rsidP="005B3F58">
      <w:pPr>
        <w:pStyle w:val="NormalWeb"/>
        <w:tabs>
          <w:tab w:val="left" w:pos="9070"/>
        </w:tabs>
        <w:spacing w:after="0"/>
        <w:jc w:val="both"/>
        <w:rPr>
          <w:rFonts w:asciiTheme="minorHAnsi" w:hAnsiTheme="minorHAnsi" w:cstheme="minorHAnsi"/>
          <w:sz w:val="20"/>
          <w:szCs w:val="20"/>
        </w:rPr>
      </w:pPr>
    </w:p>
    <w:p w14:paraId="595B0173" w14:textId="77777777" w:rsidR="005B3F58" w:rsidRPr="001A217F" w:rsidRDefault="005B3F58" w:rsidP="005B3F58">
      <w:pPr>
        <w:pStyle w:val="NormalWeb"/>
        <w:tabs>
          <w:tab w:val="left" w:pos="9070"/>
        </w:tabs>
        <w:spacing w:after="0"/>
        <w:jc w:val="both"/>
        <w:rPr>
          <w:rFonts w:asciiTheme="minorHAnsi" w:hAnsiTheme="minorHAnsi" w:cstheme="minorHAnsi"/>
          <w:sz w:val="20"/>
          <w:szCs w:val="20"/>
        </w:rPr>
      </w:pPr>
    </w:p>
    <w:p w14:paraId="0EC5A29F" w14:textId="37643845" w:rsidR="0058414B" w:rsidRPr="00734E1D" w:rsidRDefault="0058414B" w:rsidP="00734E1D">
      <w:pPr>
        <w:pStyle w:val="Titre2"/>
        <w:numPr>
          <w:ilvl w:val="0"/>
          <w:numId w:val="8"/>
        </w:numPr>
        <w:jc w:val="both"/>
        <w:rPr>
          <w:rFonts w:asciiTheme="minorHAnsi" w:hAnsiTheme="minorHAnsi" w:cstheme="minorHAnsi"/>
          <w:sz w:val="22"/>
          <w:szCs w:val="22"/>
          <w:u w:val="single"/>
        </w:rPr>
      </w:pPr>
      <w:bookmarkStart w:id="30" w:name="_Toc222900597"/>
      <w:r w:rsidRPr="00734E1D">
        <w:rPr>
          <w:rFonts w:asciiTheme="minorHAnsi" w:hAnsiTheme="minorHAnsi" w:cstheme="minorHAnsi"/>
          <w:sz w:val="22"/>
          <w:szCs w:val="22"/>
          <w:u w:val="single"/>
        </w:rPr>
        <w:t>Obligations de reprise</w:t>
      </w:r>
      <w:bookmarkEnd w:id="30"/>
      <w:r w:rsidR="00E804DA" w:rsidRPr="00734E1D">
        <w:rPr>
          <w:rFonts w:asciiTheme="minorHAnsi" w:hAnsiTheme="minorHAnsi" w:cstheme="minorHAnsi"/>
          <w:sz w:val="22"/>
          <w:szCs w:val="22"/>
          <w:u w:val="single"/>
        </w:rPr>
        <w:t xml:space="preserve"> </w:t>
      </w:r>
    </w:p>
    <w:p w14:paraId="18C6C761" w14:textId="3F48F63B" w:rsidR="005B3F58" w:rsidRPr="001A217F" w:rsidRDefault="005B3F58" w:rsidP="005B3F58">
      <w:pPr>
        <w:rPr>
          <w:rFonts w:cstheme="minorHAnsi"/>
          <w:sz w:val="20"/>
          <w:szCs w:val="20"/>
        </w:rPr>
      </w:pPr>
    </w:p>
    <w:p w14:paraId="1CDB9CEC" w14:textId="77777777" w:rsidR="005B3F58" w:rsidRPr="001A217F" w:rsidRDefault="005B3F58" w:rsidP="005B3F58">
      <w:pPr>
        <w:pStyle w:val="Titre3"/>
        <w:ind w:left="284"/>
        <w:rPr>
          <w:rFonts w:asciiTheme="minorHAnsi" w:hAnsiTheme="minorHAnsi" w:cstheme="minorHAnsi"/>
          <w:sz w:val="20"/>
          <w:szCs w:val="20"/>
        </w:rPr>
      </w:pPr>
      <w:bookmarkStart w:id="31" w:name="_Toc199226053"/>
      <w:bookmarkStart w:id="32" w:name="_Toc222900598"/>
      <w:r w:rsidRPr="001A217F">
        <w:rPr>
          <w:rFonts w:asciiTheme="minorHAnsi" w:hAnsiTheme="minorHAnsi" w:cstheme="minorHAnsi"/>
          <w:sz w:val="20"/>
          <w:szCs w:val="20"/>
        </w:rPr>
        <w:t>A- les dispositifs médicaux (hors cas des dispositifs mis en dépôt)</w:t>
      </w:r>
      <w:bookmarkEnd w:id="31"/>
      <w:bookmarkEnd w:id="32"/>
      <w:r w:rsidRPr="001A217F">
        <w:rPr>
          <w:rFonts w:asciiTheme="minorHAnsi" w:hAnsiTheme="minorHAnsi" w:cstheme="minorHAnsi"/>
          <w:sz w:val="20"/>
          <w:szCs w:val="20"/>
        </w:rPr>
        <w:t xml:space="preserve"> </w:t>
      </w:r>
    </w:p>
    <w:p w14:paraId="301FC48E" w14:textId="77777777" w:rsidR="005B3F58" w:rsidRPr="001A217F" w:rsidRDefault="005B3F58" w:rsidP="005B3F58">
      <w:pPr>
        <w:rPr>
          <w:rFonts w:cstheme="minorHAnsi"/>
          <w:sz w:val="20"/>
          <w:szCs w:val="20"/>
          <w:highlight w:val="yellow"/>
        </w:rPr>
      </w:pPr>
    </w:p>
    <w:p w14:paraId="2DD3D260" w14:textId="6B9B2323" w:rsidR="00B94A42" w:rsidRDefault="00A24CB3" w:rsidP="00A24CB3">
      <w:pPr>
        <w:rPr>
          <w:rFonts w:cstheme="minorHAnsi"/>
          <w:sz w:val="20"/>
          <w:szCs w:val="20"/>
        </w:rPr>
      </w:pPr>
      <w:r w:rsidRPr="00A24CB3">
        <w:rPr>
          <w:rFonts w:cstheme="minorHAnsi"/>
          <w:sz w:val="20"/>
          <w:szCs w:val="20"/>
        </w:rPr>
        <w:t xml:space="preserve">Tout dispositif médical (à l'exception des dispositifs mis en dépôt) devra être repris et remboursé si le Pharmacien responsable le demande et si la date de péremption est supérieure à 6 mois </w:t>
      </w:r>
      <w:r w:rsidR="00B94A42">
        <w:rPr>
          <w:rFonts w:cstheme="minorHAnsi"/>
          <w:sz w:val="20"/>
          <w:szCs w:val="20"/>
        </w:rPr>
        <w:br w:type="page"/>
      </w:r>
    </w:p>
    <w:p w14:paraId="105FEEA2" w14:textId="77777777" w:rsidR="00B94A42" w:rsidRDefault="00B94A42" w:rsidP="005B3F58">
      <w:pPr>
        <w:rPr>
          <w:rFonts w:cstheme="minorHAnsi"/>
          <w:sz w:val="20"/>
          <w:szCs w:val="20"/>
        </w:rPr>
      </w:pPr>
    </w:p>
    <w:p w14:paraId="08F10FD8" w14:textId="77777777" w:rsidR="007246F1" w:rsidRPr="00734E1D" w:rsidRDefault="007246F1" w:rsidP="00734E1D">
      <w:pPr>
        <w:jc w:val="both"/>
        <w:rPr>
          <w:rFonts w:eastAsiaTheme="majorEastAsia" w:cstheme="minorHAnsi"/>
          <w:color w:val="70AD47" w:themeColor="accent6"/>
        </w:rPr>
      </w:pPr>
    </w:p>
    <w:p w14:paraId="4F392794" w14:textId="2D90138A" w:rsidR="00065349" w:rsidRPr="005B3F58" w:rsidRDefault="003E5222" w:rsidP="005B3F58">
      <w:pPr>
        <w:pStyle w:val="Titre1"/>
        <w:jc w:val="center"/>
        <w:rPr>
          <w:rFonts w:asciiTheme="minorHAnsi" w:hAnsiTheme="minorHAnsi" w:cstheme="minorHAnsi"/>
          <w:b/>
          <w:color w:val="70AD47" w:themeColor="accent6"/>
          <w:sz w:val="52"/>
          <w:szCs w:val="32"/>
          <w:u w:val="single"/>
        </w:rPr>
      </w:pPr>
      <w:bookmarkStart w:id="33" w:name="_Toc222900599"/>
      <w:r w:rsidRPr="005B3F58">
        <w:rPr>
          <w:rFonts w:asciiTheme="minorHAnsi" w:hAnsiTheme="minorHAnsi" w:cstheme="minorHAnsi"/>
          <w:b/>
          <w:color w:val="70AD47" w:themeColor="accent6"/>
          <w:sz w:val="52"/>
          <w:szCs w:val="32"/>
          <w:u w:val="single"/>
        </w:rPr>
        <w:t>PARTIE II</w:t>
      </w:r>
      <w:bookmarkEnd w:id="33"/>
    </w:p>
    <w:p w14:paraId="07328CF8" w14:textId="16973B50" w:rsidR="00211FBB" w:rsidRPr="005B3F58" w:rsidRDefault="00AF63A8" w:rsidP="005B3F58">
      <w:pPr>
        <w:pStyle w:val="Titre1"/>
        <w:jc w:val="center"/>
        <w:rPr>
          <w:rFonts w:asciiTheme="minorHAnsi" w:hAnsiTheme="minorHAnsi" w:cstheme="minorHAnsi"/>
          <w:b/>
          <w:color w:val="70AD47" w:themeColor="accent6"/>
          <w:sz w:val="52"/>
          <w:szCs w:val="32"/>
          <w:u w:val="single"/>
        </w:rPr>
      </w:pPr>
      <w:bookmarkStart w:id="34" w:name="_Toc222900600"/>
      <w:r w:rsidRPr="005B3F58">
        <w:rPr>
          <w:rFonts w:asciiTheme="minorHAnsi" w:hAnsiTheme="minorHAnsi" w:cstheme="minorHAnsi"/>
          <w:b/>
          <w:color w:val="70AD47" w:themeColor="accent6"/>
          <w:sz w:val="52"/>
          <w:szCs w:val="32"/>
          <w:u w:val="single"/>
        </w:rPr>
        <w:t>LE VOLET</w:t>
      </w:r>
      <w:r w:rsidR="005B3F58" w:rsidRPr="005B3F58">
        <w:rPr>
          <w:rFonts w:asciiTheme="minorHAnsi" w:hAnsiTheme="minorHAnsi" w:cstheme="minorHAnsi"/>
          <w:b/>
          <w:color w:val="70AD47" w:themeColor="accent6"/>
          <w:sz w:val="52"/>
          <w:szCs w:val="32"/>
          <w:u w:val="single"/>
        </w:rPr>
        <w:t xml:space="preserve"> </w:t>
      </w:r>
      <w:r w:rsidRPr="005B3F58">
        <w:rPr>
          <w:rFonts w:asciiTheme="minorHAnsi" w:hAnsiTheme="minorHAnsi" w:cstheme="minorHAnsi"/>
          <w:b/>
          <w:color w:val="70AD47" w:themeColor="accent6"/>
          <w:sz w:val="52"/>
          <w:szCs w:val="32"/>
          <w:u w:val="single"/>
        </w:rPr>
        <w:t>SOCIAL</w:t>
      </w:r>
      <w:bookmarkEnd w:id="34"/>
    </w:p>
    <w:p w14:paraId="51EF792A" w14:textId="5A09EA5F" w:rsidR="00065349" w:rsidRPr="00734E1D" w:rsidRDefault="00065349" w:rsidP="00734E1D">
      <w:pPr>
        <w:jc w:val="both"/>
        <w:rPr>
          <w:rFonts w:cstheme="minorHAnsi"/>
        </w:rPr>
      </w:pPr>
    </w:p>
    <w:p w14:paraId="21083656" w14:textId="1343DD93" w:rsidR="00065349" w:rsidRPr="00734E1D" w:rsidRDefault="00065349" w:rsidP="00734E1D">
      <w:pPr>
        <w:jc w:val="both"/>
        <w:rPr>
          <w:rFonts w:cstheme="minorHAnsi"/>
        </w:rPr>
      </w:pPr>
    </w:p>
    <w:p w14:paraId="46187501" w14:textId="0E3D02FA" w:rsidR="00065349" w:rsidRPr="00734E1D" w:rsidRDefault="00065349" w:rsidP="00734E1D">
      <w:pPr>
        <w:jc w:val="both"/>
        <w:rPr>
          <w:rFonts w:cstheme="minorHAnsi"/>
          <w:b/>
          <w:color w:val="70AD47" w:themeColor="accent6"/>
        </w:rPr>
      </w:pPr>
      <w:r w:rsidRPr="00734E1D">
        <w:rPr>
          <w:rFonts w:cstheme="minorHAnsi"/>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19">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sidRPr="00734E1D">
        <w:rPr>
          <w:rFonts w:cstheme="minorHAnsi"/>
          <w:b/>
          <w:color w:val="70AD47" w:themeColor="accent6"/>
        </w:rPr>
        <w:br w:type="page"/>
      </w:r>
    </w:p>
    <w:p w14:paraId="2B371705" w14:textId="79CDB85C" w:rsidR="00211FBB" w:rsidRPr="00734E1D" w:rsidRDefault="00211FBB" w:rsidP="00734E1D">
      <w:pPr>
        <w:jc w:val="both"/>
        <w:rPr>
          <w:rFonts w:cstheme="minorHAnsi"/>
          <w:b/>
          <w:color w:val="70AD47" w:themeColor="accent6"/>
        </w:rPr>
      </w:pPr>
    </w:p>
    <w:p w14:paraId="75B0C51A" w14:textId="77777777" w:rsidR="00295631" w:rsidRPr="00734E1D" w:rsidRDefault="00295631" w:rsidP="00734E1D">
      <w:pPr>
        <w:jc w:val="both"/>
        <w:rPr>
          <w:rFonts w:cstheme="minorHAnsi"/>
        </w:rPr>
      </w:pPr>
    </w:p>
    <w:p w14:paraId="51554155" w14:textId="5B9AA7F7" w:rsidR="00295631" w:rsidRPr="00734E1D" w:rsidRDefault="00295631" w:rsidP="00734E1D">
      <w:pPr>
        <w:pStyle w:val="Titre2"/>
        <w:numPr>
          <w:ilvl w:val="0"/>
          <w:numId w:val="12"/>
        </w:numPr>
        <w:jc w:val="both"/>
        <w:rPr>
          <w:rFonts w:asciiTheme="minorHAnsi" w:hAnsiTheme="minorHAnsi" w:cstheme="minorHAnsi"/>
          <w:sz w:val="22"/>
          <w:szCs w:val="22"/>
          <w:u w:val="single"/>
        </w:rPr>
      </w:pPr>
      <w:r w:rsidRPr="00734E1D">
        <w:rPr>
          <w:rFonts w:asciiTheme="minorHAnsi" w:hAnsiTheme="minorHAnsi" w:cstheme="minorHAnsi"/>
          <w:sz w:val="22"/>
          <w:szCs w:val="22"/>
          <w:u w:val="single"/>
        </w:rPr>
        <w:t xml:space="preserve"> </w:t>
      </w:r>
      <w:bookmarkStart w:id="35" w:name="_Toc222900601"/>
      <w:r w:rsidRPr="00734E1D">
        <w:rPr>
          <w:rFonts w:asciiTheme="minorHAnsi" w:hAnsiTheme="minorHAnsi" w:cstheme="minorHAnsi"/>
          <w:sz w:val="22"/>
          <w:szCs w:val="22"/>
          <w:u w:val="single"/>
        </w:rPr>
        <w:t>Heures d’insertion</w:t>
      </w:r>
      <w:bookmarkEnd w:id="35"/>
    </w:p>
    <w:p w14:paraId="7A42CA7B" w14:textId="7273157E" w:rsidR="00AF63A8" w:rsidRPr="00734E1D" w:rsidRDefault="00AF63A8" w:rsidP="00734E1D">
      <w:pPr>
        <w:pStyle w:val="Titre2"/>
        <w:ind w:left="1080"/>
        <w:jc w:val="both"/>
        <w:rPr>
          <w:rFonts w:asciiTheme="minorHAnsi" w:hAnsiTheme="minorHAnsi" w:cstheme="minorHAnsi"/>
          <w:sz w:val="22"/>
          <w:szCs w:val="22"/>
          <w:u w:val="single"/>
        </w:rPr>
      </w:pPr>
    </w:p>
    <w:p w14:paraId="55D95693" w14:textId="77777777" w:rsidR="005B3F58" w:rsidRPr="001A217F" w:rsidRDefault="005B3F58" w:rsidP="005B3F58">
      <w:pPr>
        <w:tabs>
          <w:tab w:val="left" w:pos="9070"/>
        </w:tabs>
        <w:jc w:val="both"/>
        <w:rPr>
          <w:rFonts w:cstheme="minorHAnsi"/>
          <w:bCs/>
          <w:iCs/>
          <w:sz w:val="20"/>
          <w:szCs w:val="20"/>
        </w:rPr>
      </w:pPr>
      <w:r w:rsidRPr="001A217F">
        <w:rPr>
          <w:rFonts w:cstheme="minorHAnsi"/>
          <w:bCs/>
          <w:iCs/>
          <w:sz w:val="20"/>
          <w:szCs w:val="20"/>
        </w:rPr>
        <w:t xml:space="preserve">Dans le cadre de l’exécution du marché, l’acheteur invite les fournisseurs à s’engager dans une action d’insertion sociale permettant l’accès ou le retour à l’emploi de personnes rencontrant des difficultés sociales et/ou professionnelles dans le respect des stipulations de l’article 16.1 du CCAG FCS.  </w:t>
      </w:r>
    </w:p>
    <w:p w14:paraId="0DDB3918" w14:textId="77777777" w:rsidR="005B3F58" w:rsidRPr="001A217F" w:rsidRDefault="005B3F58" w:rsidP="005B3F58">
      <w:pPr>
        <w:tabs>
          <w:tab w:val="left" w:pos="9070"/>
        </w:tabs>
        <w:jc w:val="both"/>
        <w:rPr>
          <w:rFonts w:cstheme="minorHAnsi"/>
          <w:bCs/>
          <w:iCs/>
          <w:sz w:val="20"/>
          <w:szCs w:val="20"/>
        </w:rPr>
      </w:pPr>
      <w:r w:rsidRPr="001A217F">
        <w:rPr>
          <w:rFonts w:cstheme="minorHAnsi"/>
          <w:bCs/>
          <w:iCs/>
          <w:sz w:val="20"/>
          <w:szCs w:val="20"/>
        </w:rPr>
        <w:t xml:space="preserve">Dans cet objectif, le candidat peut proposer, dans l’annexe au marché « heures d’insertion », un nombre d’heures d’insertion qu’il s’engage à réaliser. </w:t>
      </w:r>
    </w:p>
    <w:p w14:paraId="2E2A1294" w14:textId="77777777" w:rsidR="005B3F58" w:rsidRPr="001A217F" w:rsidRDefault="005B3F58" w:rsidP="005B3F58">
      <w:pPr>
        <w:tabs>
          <w:tab w:val="left" w:pos="9070"/>
        </w:tabs>
        <w:jc w:val="both"/>
        <w:rPr>
          <w:rFonts w:cstheme="minorHAnsi"/>
          <w:bCs/>
          <w:iCs/>
          <w:sz w:val="20"/>
          <w:szCs w:val="20"/>
        </w:rPr>
      </w:pPr>
      <w:r w:rsidRPr="001A217F">
        <w:rPr>
          <w:rFonts w:cstheme="minorHAnsi"/>
          <w:bCs/>
          <w:iCs/>
          <w:sz w:val="20"/>
          <w:szCs w:val="20"/>
        </w:rPr>
        <w:t xml:space="preserve">Les modalités de mise en place et de suivi de cette action d’insertion seront déterminées avec les chargés de mission de la plateforme collaborative, conformément à l’annexe au marché « heures d’insertion ». </w:t>
      </w:r>
    </w:p>
    <w:p w14:paraId="1F178ED6" w14:textId="77777777" w:rsidR="005B3F58" w:rsidRPr="001A217F" w:rsidRDefault="005B3F58" w:rsidP="005B3F58">
      <w:pPr>
        <w:tabs>
          <w:tab w:val="left" w:pos="9070"/>
        </w:tabs>
        <w:jc w:val="both"/>
        <w:rPr>
          <w:rFonts w:cstheme="minorHAnsi"/>
          <w:bCs/>
          <w:iCs/>
          <w:sz w:val="20"/>
          <w:szCs w:val="20"/>
        </w:rPr>
      </w:pPr>
      <w:r w:rsidRPr="001A217F">
        <w:rPr>
          <w:rFonts w:cstheme="minorHAnsi"/>
          <w:bCs/>
          <w:iCs/>
          <w:sz w:val="20"/>
          <w:szCs w:val="20"/>
        </w:rPr>
        <w:t xml:space="preserve">En cas d’engagement par le titulaire, dans annexe au marché « heures d’insertion », de réserver des heures d’insertion à des publics éloignés de l’emploi, les paragraphes ci-après s’appliquent. </w:t>
      </w:r>
    </w:p>
    <w:p w14:paraId="65CF5DC3" w14:textId="77777777" w:rsidR="005B3F58" w:rsidRPr="001A217F" w:rsidRDefault="005B3F58" w:rsidP="005B3F58">
      <w:pPr>
        <w:tabs>
          <w:tab w:val="left" w:pos="9070"/>
        </w:tabs>
        <w:jc w:val="both"/>
        <w:rPr>
          <w:rFonts w:cstheme="minorHAnsi"/>
          <w:bCs/>
          <w:iCs/>
          <w:sz w:val="20"/>
          <w:szCs w:val="20"/>
        </w:rPr>
      </w:pPr>
      <w:r w:rsidRPr="001A217F">
        <w:rPr>
          <w:rFonts w:cstheme="minorHAnsi"/>
          <w:bCs/>
          <w:iCs/>
          <w:sz w:val="20"/>
          <w:szCs w:val="20"/>
        </w:rPr>
        <w:t>Le titulaire se voit appliquer</w:t>
      </w:r>
      <w:r>
        <w:rPr>
          <w:rFonts w:cstheme="minorHAnsi"/>
          <w:bCs/>
          <w:iCs/>
          <w:sz w:val="20"/>
          <w:szCs w:val="20"/>
        </w:rPr>
        <w:t xml:space="preserve"> une pénalité forfaitaire de 50</w:t>
      </w:r>
      <w:r w:rsidRPr="001A217F">
        <w:rPr>
          <w:rFonts w:cstheme="minorHAnsi"/>
          <w:bCs/>
          <w:iCs/>
          <w:sz w:val="20"/>
          <w:szCs w:val="20"/>
        </w:rPr>
        <w:t xml:space="preserve"> euros, en cas d’heures d’insertion non réalisées, après mise en demeure restée infructueuse. </w:t>
      </w:r>
    </w:p>
    <w:p w14:paraId="5F4D009E" w14:textId="77777777" w:rsidR="005B3F58" w:rsidRPr="001A217F" w:rsidRDefault="005B3F58" w:rsidP="005B3F58">
      <w:pPr>
        <w:tabs>
          <w:tab w:val="left" w:pos="9070"/>
        </w:tabs>
        <w:jc w:val="both"/>
        <w:rPr>
          <w:rFonts w:cstheme="minorHAnsi"/>
          <w:bCs/>
          <w:iCs/>
          <w:sz w:val="20"/>
          <w:szCs w:val="20"/>
        </w:rPr>
      </w:pPr>
      <w:r w:rsidRPr="001A217F">
        <w:rPr>
          <w:rFonts w:cstheme="minorHAnsi"/>
          <w:bCs/>
          <w:iCs/>
          <w:sz w:val="20"/>
          <w:szCs w:val="20"/>
        </w:rPr>
        <w:t xml:space="preserve">Lorsque le titulaire a informé l'acheteur de difficultés dans la mise en œuvre de stipulations de l’article 16.1 du CCAG FCS, la pénalité ne s'applique pas à la part des heures d'insertion initialement prévues pour lesquelles l'acheteur ou le facilitateur ne sont pas parvenus à trouver un moyen pour le titulaire d'y recourir. </w:t>
      </w:r>
    </w:p>
    <w:p w14:paraId="281D9420" w14:textId="77777777" w:rsidR="005B3F58" w:rsidRPr="001A217F" w:rsidRDefault="005B3F58" w:rsidP="005B3F58">
      <w:pPr>
        <w:tabs>
          <w:tab w:val="left" w:pos="9070"/>
        </w:tabs>
        <w:jc w:val="both"/>
        <w:rPr>
          <w:rFonts w:cstheme="minorHAnsi"/>
          <w:bCs/>
          <w:iCs/>
          <w:sz w:val="20"/>
          <w:szCs w:val="20"/>
        </w:rPr>
      </w:pPr>
      <w:r w:rsidRPr="001A217F">
        <w:rPr>
          <w:rFonts w:cstheme="minorHAnsi"/>
          <w:bCs/>
          <w:iCs/>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Pr>
          <w:rFonts w:cstheme="minorHAnsi"/>
          <w:bCs/>
          <w:iCs/>
          <w:sz w:val="20"/>
          <w:szCs w:val="20"/>
        </w:rPr>
        <w:t>50</w:t>
      </w:r>
      <w:r w:rsidRPr="001A217F">
        <w:rPr>
          <w:rFonts w:cstheme="minorHAnsi"/>
          <w:bCs/>
          <w:iCs/>
          <w:sz w:val="20"/>
          <w:szCs w:val="20"/>
        </w:rPr>
        <w:t xml:space="preserve"> euros. </w:t>
      </w:r>
    </w:p>
    <w:p w14:paraId="11C86A97" w14:textId="77777777" w:rsidR="005B3F58" w:rsidRPr="001A217F" w:rsidRDefault="005B3F58" w:rsidP="005B3F58">
      <w:pPr>
        <w:tabs>
          <w:tab w:val="left" w:pos="9070"/>
        </w:tabs>
        <w:jc w:val="both"/>
        <w:rPr>
          <w:rFonts w:cstheme="minorHAnsi"/>
          <w:sz w:val="20"/>
          <w:szCs w:val="20"/>
          <w:highlight w:val="cyan"/>
        </w:rPr>
      </w:pPr>
      <w:r w:rsidRPr="001A217F">
        <w:rPr>
          <w:rFonts w:cstheme="minorHAnsi"/>
          <w:bCs/>
          <w:iCs/>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Pr>
          <w:rFonts w:cstheme="minorHAnsi"/>
          <w:bCs/>
          <w:iCs/>
          <w:sz w:val="20"/>
          <w:szCs w:val="20"/>
        </w:rPr>
        <w:t>50</w:t>
      </w:r>
      <w:r w:rsidRPr="001A217F">
        <w:rPr>
          <w:rFonts w:cstheme="minorHAnsi"/>
          <w:bCs/>
          <w:iCs/>
          <w:sz w:val="20"/>
          <w:szCs w:val="20"/>
        </w:rPr>
        <w:t xml:space="preserve"> euros</w:t>
      </w:r>
      <w:r w:rsidRPr="001A217F">
        <w:rPr>
          <w:rFonts w:cstheme="minorHAnsi"/>
          <w:sz w:val="20"/>
          <w:szCs w:val="20"/>
        </w:rPr>
        <w:t>.</w:t>
      </w:r>
    </w:p>
    <w:p w14:paraId="4D1577CB" w14:textId="41FFAC74" w:rsidR="00D54A25" w:rsidRPr="00734E1D" w:rsidRDefault="00D54A25" w:rsidP="00734E1D">
      <w:pPr>
        <w:tabs>
          <w:tab w:val="left" w:pos="750"/>
        </w:tabs>
        <w:jc w:val="both"/>
        <w:rPr>
          <w:rFonts w:cstheme="minorHAnsi"/>
          <w:b/>
          <w:bCs/>
          <w:iCs/>
          <w:color w:val="FF0000"/>
          <w:highlight w:val="cyan"/>
        </w:rPr>
      </w:pPr>
    </w:p>
    <w:p w14:paraId="5A3252CA" w14:textId="0887B3DD" w:rsidR="003E5222" w:rsidRPr="00734E1D" w:rsidRDefault="00B94A42" w:rsidP="00734E1D">
      <w:pPr>
        <w:pStyle w:val="Titre2"/>
        <w:numPr>
          <w:ilvl w:val="0"/>
          <w:numId w:val="12"/>
        </w:numPr>
        <w:jc w:val="both"/>
        <w:rPr>
          <w:rFonts w:asciiTheme="minorHAnsi" w:hAnsiTheme="minorHAnsi" w:cstheme="minorHAnsi"/>
          <w:sz w:val="22"/>
          <w:szCs w:val="22"/>
          <w:u w:val="single"/>
        </w:rPr>
      </w:pPr>
      <w:bookmarkStart w:id="36" w:name="_Toc126140278"/>
      <w:bookmarkStart w:id="37" w:name="_Toc222900602"/>
      <w:r w:rsidRPr="00734E1D">
        <w:rPr>
          <w:rFonts w:cstheme="minorHAnsi"/>
          <w:noProof/>
          <w:lang w:eastAsia="fr-FR"/>
        </w:rPr>
        <w:drawing>
          <wp:anchor distT="0" distB="0" distL="114300" distR="114300" simplePos="0" relativeHeight="251667456" behindDoc="1" locked="0" layoutInCell="1" allowOverlap="1" wp14:anchorId="0B783779" wp14:editId="021F0872">
            <wp:simplePos x="0" y="0"/>
            <wp:positionH relativeFrom="column">
              <wp:posOffset>5353685</wp:posOffset>
            </wp:positionH>
            <wp:positionV relativeFrom="paragraph">
              <wp:posOffset>13335</wp:posOffset>
            </wp:positionV>
            <wp:extent cx="935990" cy="839470"/>
            <wp:effectExtent l="0" t="0" r="0" b="0"/>
            <wp:wrapTight wrapText="bothSides">
              <wp:wrapPolygon edited="0">
                <wp:start x="0" y="0"/>
                <wp:lineTo x="0" y="21077"/>
                <wp:lineTo x="21102" y="21077"/>
                <wp:lineTo x="21102"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35990" cy="839470"/>
                    </a:xfrm>
                    <a:prstGeom prst="rect">
                      <a:avLst/>
                    </a:prstGeom>
                  </pic:spPr>
                </pic:pic>
              </a:graphicData>
            </a:graphic>
            <wp14:sizeRelH relativeFrom="page">
              <wp14:pctWidth>0</wp14:pctWidth>
            </wp14:sizeRelH>
            <wp14:sizeRelV relativeFrom="page">
              <wp14:pctHeight>0</wp14:pctHeight>
            </wp14:sizeRelV>
          </wp:anchor>
        </w:drawing>
      </w:r>
      <w:r w:rsidR="003E5222" w:rsidRPr="00734E1D">
        <w:rPr>
          <w:rFonts w:asciiTheme="minorHAnsi" w:hAnsiTheme="minorHAnsi" w:cstheme="minorHAnsi"/>
          <w:sz w:val="22"/>
          <w:szCs w:val="22"/>
          <w:u w:val="single"/>
        </w:rPr>
        <w:t>L</w:t>
      </w:r>
      <w:r w:rsidR="002D046D" w:rsidRPr="00734E1D">
        <w:rPr>
          <w:rFonts w:asciiTheme="minorHAnsi" w:hAnsiTheme="minorHAnsi" w:cstheme="minorHAnsi"/>
          <w:sz w:val="22"/>
          <w:szCs w:val="22"/>
          <w:u w:val="single"/>
        </w:rPr>
        <w:t xml:space="preserve">utte contre les discriminations et </w:t>
      </w:r>
      <w:r w:rsidR="009B24EB" w:rsidRPr="00734E1D">
        <w:rPr>
          <w:rFonts w:asciiTheme="minorHAnsi" w:hAnsiTheme="minorHAnsi" w:cstheme="minorHAnsi"/>
          <w:sz w:val="22"/>
          <w:szCs w:val="22"/>
          <w:u w:val="single"/>
        </w:rPr>
        <w:t>engagement</w:t>
      </w:r>
      <w:r w:rsidR="002D046D" w:rsidRPr="00734E1D">
        <w:rPr>
          <w:rFonts w:asciiTheme="minorHAnsi" w:hAnsiTheme="minorHAnsi" w:cstheme="minorHAnsi"/>
          <w:sz w:val="22"/>
          <w:szCs w:val="22"/>
          <w:u w:val="single"/>
        </w:rPr>
        <w:t xml:space="preserve"> en faveur de l’égalité professionnelle</w:t>
      </w:r>
      <w:bookmarkEnd w:id="36"/>
      <w:bookmarkEnd w:id="37"/>
    </w:p>
    <w:p w14:paraId="64EDD4A1" w14:textId="440F09D3" w:rsidR="002D046D" w:rsidRDefault="002D046D" w:rsidP="00734E1D">
      <w:pPr>
        <w:jc w:val="both"/>
        <w:rPr>
          <w:rFonts w:cstheme="minorHAnsi"/>
        </w:rPr>
      </w:pPr>
    </w:p>
    <w:p w14:paraId="355C8FF6" w14:textId="77777777" w:rsidR="00B94A42" w:rsidRPr="00B94A42" w:rsidRDefault="00B94A42" w:rsidP="00734E1D">
      <w:pPr>
        <w:jc w:val="both"/>
        <w:rPr>
          <w:rFonts w:cstheme="minorHAnsi"/>
        </w:rPr>
      </w:pPr>
    </w:p>
    <w:p w14:paraId="4CECCB29" w14:textId="0DE5907C" w:rsidR="00B94A42" w:rsidRPr="00B94A42" w:rsidRDefault="00B94A42" w:rsidP="00B94A42">
      <w:pPr>
        <w:jc w:val="both"/>
        <w:rPr>
          <w:rFonts w:cstheme="minorHAnsi"/>
          <w:sz w:val="20"/>
          <w:szCs w:val="20"/>
        </w:rPr>
      </w:pPr>
      <w:r w:rsidRPr="00B94A42">
        <w:rPr>
          <w:rFonts w:cstheme="minorHAnsi"/>
          <w:sz w:val="20"/>
          <w:szCs w:val="20"/>
        </w:rPr>
        <w:t xml:space="preserve">Le CHU de Montpellier est engagé en faveur de l’égalité, notamment l’égalité femmes-hommes, et de la lutte contre toutes les formes de discrimination. </w:t>
      </w:r>
    </w:p>
    <w:p w14:paraId="333AB2F2" w14:textId="77777777" w:rsidR="00B94A42" w:rsidRPr="00B94A42" w:rsidRDefault="00B94A42" w:rsidP="00B94A42">
      <w:pPr>
        <w:jc w:val="both"/>
        <w:rPr>
          <w:rFonts w:cstheme="minorHAnsi"/>
          <w:sz w:val="20"/>
          <w:szCs w:val="20"/>
        </w:rPr>
      </w:pPr>
      <w:r w:rsidRPr="00B94A42">
        <w:rPr>
          <w:rFonts w:cstheme="minorHAnsi"/>
          <w:sz w:val="20"/>
          <w:szCs w:val="20"/>
        </w:rPr>
        <w:t xml:space="preserve">Conformément à l ‘article 1 de la  </w:t>
      </w:r>
      <w:hyperlink r:id="rId21" w:history="1">
        <w:r w:rsidRPr="00B94A42">
          <w:rPr>
            <w:rStyle w:val="Lienhypertexte"/>
            <w:rFonts w:cstheme="minorHAnsi"/>
            <w:b/>
            <w:bCs/>
            <w:sz w:val="20"/>
            <w:szCs w:val="20"/>
          </w:rPr>
          <w:t>LOI n° 2008-496 du 27 mai 2008 portant diverses dispositions d'adaptation au droit communautaire dans le domaine de la lutte contre les discriminations </w:t>
        </w:r>
      </w:hyperlink>
      <w:r w:rsidRPr="00B94A42">
        <w:rPr>
          <w:rFonts w:cstheme="minorHAnsi"/>
          <w:sz w:val="20"/>
          <w:szCs w:val="20"/>
        </w:rPr>
        <w:t xml:space="preserve">  </w:t>
      </w:r>
    </w:p>
    <w:p w14:paraId="6DEFB997" w14:textId="77777777" w:rsidR="00B94A42" w:rsidRPr="00B94A42" w:rsidRDefault="00B94A42" w:rsidP="00B94A42">
      <w:pPr>
        <w:jc w:val="both"/>
        <w:rPr>
          <w:rFonts w:cstheme="minorHAnsi"/>
          <w:sz w:val="20"/>
          <w:szCs w:val="20"/>
        </w:rPr>
      </w:pPr>
      <w:r w:rsidRPr="00B94A42">
        <w:rPr>
          <w:rFonts w:cstheme="minorHAnsi"/>
          <w:sz w:val="20"/>
          <w:szCs w:val="20"/>
        </w:rPr>
        <w:t xml:space="preserve">Constitue </w:t>
      </w:r>
      <w:r w:rsidRPr="00B94A42">
        <w:rPr>
          <w:rFonts w:cstheme="minorHAnsi"/>
          <w:b/>
          <w:sz w:val="20"/>
          <w:szCs w:val="20"/>
        </w:rPr>
        <w:t>une discrimination directe</w:t>
      </w:r>
      <w:r w:rsidRPr="00B94A42">
        <w:rPr>
          <w:rFonts w:cstheme="minorHAnsi"/>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20AFC13B" w14:textId="77777777" w:rsidR="00B94A42" w:rsidRPr="00B94A42" w:rsidRDefault="00B94A42" w:rsidP="00B94A42">
      <w:pPr>
        <w:jc w:val="both"/>
        <w:rPr>
          <w:rFonts w:cstheme="minorHAnsi"/>
          <w:sz w:val="20"/>
          <w:szCs w:val="20"/>
        </w:rPr>
      </w:pPr>
      <w:r w:rsidRPr="00B94A42">
        <w:rPr>
          <w:rFonts w:cstheme="minorHAnsi"/>
          <w:sz w:val="20"/>
          <w:szCs w:val="20"/>
        </w:rPr>
        <w:lastRenderedPageBreak/>
        <w:t xml:space="preserve">Constitue </w:t>
      </w:r>
      <w:r w:rsidRPr="00B94A42">
        <w:rPr>
          <w:rFonts w:cstheme="minorHAnsi"/>
          <w:b/>
          <w:sz w:val="20"/>
          <w:szCs w:val="20"/>
        </w:rPr>
        <w:t>une discrimination indirecte</w:t>
      </w:r>
      <w:r w:rsidRPr="00B94A42">
        <w:rPr>
          <w:rFonts w:cstheme="minorHAnsi"/>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soient nécessaires et appropriés. </w:t>
      </w:r>
    </w:p>
    <w:p w14:paraId="1194B327" w14:textId="77777777" w:rsidR="00B94A42" w:rsidRPr="00B94A42" w:rsidRDefault="00B94A42" w:rsidP="00B94A42">
      <w:pPr>
        <w:jc w:val="both"/>
        <w:rPr>
          <w:rFonts w:cstheme="minorHAnsi"/>
          <w:b/>
          <w:bCs/>
          <w:sz w:val="20"/>
          <w:szCs w:val="20"/>
          <w:u w:val="single"/>
        </w:rPr>
      </w:pPr>
      <w:r w:rsidRPr="00B94A42">
        <w:rPr>
          <w:rFonts w:cstheme="minorHAnsi"/>
          <w:b/>
          <w:bCs/>
          <w:sz w:val="20"/>
          <w:szCs w:val="20"/>
          <w:u w:val="single"/>
        </w:rPr>
        <w:t>La discrimination inclut :</w:t>
      </w:r>
    </w:p>
    <w:p w14:paraId="10A993EC" w14:textId="4668BD80" w:rsidR="00B94A42" w:rsidRPr="00B94A42" w:rsidRDefault="00B94A42" w:rsidP="00B94A42">
      <w:pPr>
        <w:pStyle w:val="Paragraphedeliste"/>
        <w:numPr>
          <w:ilvl w:val="0"/>
          <w:numId w:val="29"/>
        </w:numPr>
        <w:jc w:val="both"/>
        <w:rPr>
          <w:rFonts w:cstheme="minorHAnsi"/>
          <w:sz w:val="20"/>
          <w:szCs w:val="20"/>
        </w:rPr>
      </w:pPr>
      <w:r w:rsidRPr="00B94A42">
        <w:rPr>
          <w:rFonts w:cstheme="minorHAnsi"/>
          <w:sz w:val="20"/>
          <w:szCs w:val="20"/>
        </w:rPr>
        <w:t>Tout agissement lié à l'un des motifs mentionnés au premier alinéa et tout agissement à connotation sexuelle, subis par une personne et ayant pour objet ou pour effet de porter atteinte à sa dignité ou de créer un environnement intimidant, hostile, dégradant, humiliant ou offensant ;</w:t>
      </w:r>
    </w:p>
    <w:p w14:paraId="549C736A" w14:textId="2CD9211F" w:rsidR="00B94A42" w:rsidRPr="00B94A42" w:rsidRDefault="00B94A42" w:rsidP="00B94A42">
      <w:pPr>
        <w:pStyle w:val="Paragraphedeliste"/>
        <w:numPr>
          <w:ilvl w:val="0"/>
          <w:numId w:val="29"/>
        </w:numPr>
        <w:jc w:val="both"/>
        <w:rPr>
          <w:rFonts w:cstheme="minorHAnsi"/>
          <w:sz w:val="20"/>
          <w:szCs w:val="20"/>
        </w:rPr>
      </w:pPr>
      <w:r w:rsidRPr="00B94A42">
        <w:rPr>
          <w:rFonts w:cstheme="minorHAnsi"/>
          <w:sz w:val="20"/>
          <w:szCs w:val="20"/>
        </w:rPr>
        <w:t>Le fait d'enjoindre à quiconque d'adopter un comportement prohibé par l'article 2 de la loi.</w:t>
      </w:r>
    </w:p>
    <w:p w14:paraId="11048992" w14:textId="531206D9" w:rsidR="00B94A42" w:rsidRDefault="00B94A42" w:rsidP="00B94A42">
      <w:pPr>
        <w:jc w:val="both"/>
        <w:rPr>
          <w:rFonts w:cstheme="minorHAnsi"/>
          <w:sz w:val="20"/>
          <w:szCs w:val="20"/>
        </w:rPr>
      </w:pPr>
      <w:r w:rsidRPr="00B94A42">
        <w:rPr>
          <w:rFonts w:cstheme="minorHAnsi"/>
          <w:sz w:val="20"/>
          <w:szCs w:val="20"/>
        </w:rPr>
        <w:t>Les articles 225-1 et suivants du code pénal condamnent les discriminations par une peine pouvant aller jusqu’à 3 ans d’emprisonnement et 45 000 € d’amende</w:t>
      </w:r>
      <w:r>
        <w:rPr>
          <w:rFonts w:cstheme="minorHAnsi"/>
          <w:sz w:val="20"/>
          <w:szCs w:val="20"/>
        </w:rPr>
        <w:t>.</w:t>
      </w:r>
    </w:p>
    <w:p w14:paraId="5EFFE674" w14:textId="77777777" w:rsidR="007E16B7" w:rsidRPr="00734E1D" w:rsidRDefault="007E16B7" w:rsidP="00734E1D">
      <w:pPr>
        <w:pStyle w:val="RedaliaNormal"/>
        <w:rPr>
          <w:rFonts w:asciiTheme="minorHAnsi" w:hAnsiTheme="minorHAnsi" w:cstheme="minorHAnsi"/>
          <w:sz w:val="22"/>
          <w:szCs w:val="22"/>
        </w:rPr>
      </w:pPr>
    </w:p>
    <w:p w14:paraId="51807FEE" w14:textId="77777777" w:rsidR="00634BE2" w:rsidRPr="00BD46D0" w:rsidRDefault="00634BE2" w:rsidP="00634BE2">
      <w:pPr>
        <w:pStyle w:val="Titre3"/>
        <w:jc w:val="both"/>
        <w:rPr>
          <w:rFonts w:ascii="Calibri" w:hAnsi="Calibri" w:cs="Calibri"/>
          <w:sz w:val="22"/>
          <w:szCs w:val="22"/>
        </w:rPr>
      </w:pPr>
      <w:bookmarkStart w:id="38" w:name="_Toc215734325"/>
      <w:bookmarkStart w:id="39" w:name="_Hlk219794235"/>
      <w:bookmarkStart w:id="40" w:name="_Toc222900603"/>
      <w:r w:rsidRPr="00BD46D0">
        <w:rPr>
          <w:rFonts w:ascii="Calibri" w:hAnsi="Calibri" w:cs="Calibri"/>
          <w:sz w:val="22"/>
          <w:szCs w:val="22"/>
        </w:rPr>
        <w:t>A-Prévention et traitement des agissements sexistes et du harcèlement sexuel</w:t>
      </w:r>
      <w:bookmarkEnd w:id="38"/>
      <w:bookmarkEnd w:id="40"/>
    </w:p>
    <w:p w14:paraId="49B8A234" w14:textId="77777777" w:rsidR="00634BE2" w:rsidRPr="00BD46D0" w:rsidRDefault="00634BE2" w:rsidP="00634BE2">
      <w:pPr>
        <w:pStyle w:val="Titre3"/>
        <w:jc w:val="both"/>
        <w:rPr>
          <w:rFonts w:ascii="Calibri" w:eastAsiaTheme="minorEastAsia" w:hAnsi="Calibri" w:cs="Calibri"/>
          <w:color w:val="auto"/>
          <w:sz w:val="20"/>
          <w:szCs w:val="20"/>
        </w:rPr>
      </w:pPr>
    </w:p>
    <w:p w14:paraId="4B338F70" w14:textId="77777777" w:rsidR="00634BE2" w:rsidRPr="00BD46D0" w:rsidRDefault="00634BE2" w:rsidP="00634BE2">
      <w:pPr>
        <w:rPr>
          <w:rFonts w:ascii="Calibri" w:hAnsi="Calibri" w:cs="Calibri"/>
          <w:b/>
          <w:bCs/>
          <w:sz w:val="20"/>
          <w:szCs w:val="20"/>
          <w:u w:val="single"/>
        </w:rPr>
      </w:pPr>
      <w:r w:rsidRPr="00BD46D0">
        <w:rPr>
          <w:rFonts w:ascii="Calibri" w:hAnsi="Calibri" w:cs="Calibri"/>
          <w:b/>
          <w:bCs/>
          <w:sz w:val="20"/>
          <w:szCs w:val="20"/>
          <w:u w:val="single"/>
        </w:rPr>
        <w:t>Le titulaire du marché s’engage à :</w:t>
      </w:r>
    </w:p>
    <w:p w14:paraId="1412A0C5" w14:textId="23604F00" w:rsidR="00634BE2" w:rsidRPr="00BD46D0" w:rsidRDefault="00BD46D0" w:rsidP="00BD46D0">
      <w:pPr>
        <w:pStyle w:val="Paragraphedeliste"/>
        <w:numPr>
          <w:ilvl w:val="0"/>
          <w:numId w:val="3"/>
        </w:numPr>
        <w:spacing w:after="0"/>
        <w:rPr>
          <w:rFonts w:ascii="Calibri" w:hAnsi="Calibri" w:cs="Calibri"/>
          <w:sz w:val="20"/>
          <w:szCs w:val="20"/>
        </w:rPr>
      </w:pPr>
      <w:r w:rsidRPr="00BD46D0">
        <w:rPr>
          <w:rFonts w:ascii="Calibri" w:hAnsi="Calibri" w:cs="Calibri"/>
          <w:sz w:val="20"/>
          <w:szCs w:val="20"/>
        </w:rPr>
        <w:t>Mettre</w:t>
      </w:r>
      <w:r w:rsidR="00634BE2" w:rsidRPr="00BD46D0">
        <w:rPr>
          <w:rFonts w:ascii="Calibri" w:hAnsi="Calibri" w:cs="Calibri"/>
          <w:sz w:val="20"/>
          <w:szCs w:val="20"/>
        </w:rPr>
        <w:t xml:space="preserve"> en place une procédure de signalement et de traitement des faits.</w:t>
      </w:r>
    </w:p>
    <w:p w14:paraId="29AE5A51" w14:textId="40C37E01" w:rsidR="00634BE2" w:rsidRPr="00BD46D0" w:rsidRDefault="00634BE2" w:rsidP="00BD46D0">
      <w:pPr>
        <w:pStyle w:val="Paragraphedeliste"/>
        <w:numPr>
          <w:ilvl w:val="0"/>
          <w:numId w:val="35"/>
        </w:numPr>
        <w:spacing w:after="0"/>
        <w:rPr>
          <w:rFonts w:ascii="Calibri" w:hAnsi="Calibri" w:cs="Calibri"/>
          <w:sz w:val="20"/>
          <w:szCs w:val="20"/>
        </w:rPr>
      </w:pPr>
      <w:r w:rsidRPr="00BD46D0">
        <w:rPr>
          <w:rFonts w:ascii="Calibri" w:hAnsi="Calibri" w:cs="Calibri"/>
          <w:sz w:val="20"/>
          <w:szCs w:val="20"/>
        </w:rPr>
        <w:t>Organiser moins une session de sensibilisation pour le personnel affecté au marché.</w:t>
      </w:r>
    </w:p>
    <w:p w14:paraId="20CBAA79" w14:textId="26C5BF63" w:rsidR="00634BE2" w:rsidRPr="00BD46D0" w:rsidRDefault="00634BE2" w:rsidP="00BD46D0">
      <w:pPr>
        <w:pStyle w:val="Paragraphedeliste"/>
        <w:numPr>
          <w:ilvl w:val="0"/>
          <w:numId w:val="35"/>
        </w:numPr>
        <w:spacing w:after="0"/>
        <w:rPr>
          <w:rFonts w:ascii="Calibri" w:hAnsi="Calibri" w:cs="Calibri"/>
          <w:sz w:val="20"/>
          <w:szCs w:val="20"/>
        </w:rPr>
      </w:pPr>
      <w:r w:rsidRPr="00BD46D0">
        <w:rPr>
          <w:rFonts w:ascii="Calibri" w:hAnsi="Calibri" w:cs="Calibri"/>
          <w:sz w:val="20"/>
          <w:szCs w:val="20"/>
        </w:rPr>
        <w:t>Désigner un(e) référent(e) en matière de lutte contre le harcèlement sexuel (obligatoire pour entreprises ≥ 250 salariés).</w:t>
      </w:r>
    </w:p>
    <w:bookmarkEnd w:id="39"/>
    <w:p w14:paraId="194A6D06" w14:textId="77777777" w:rsidR="00634BE2" w:rsidRPr="00BD46D0" w:rsidRDefault="00634BE2" w:rsidP="00634BE2">
      <w:pPr>
        <w:rPr>
          <w:rFonts w:ascii="Calibri" w:hAnsi="Calibri" w:cs="Calibri"/>
          <w:highlight w:val="cyan"/>
        </w:rPr>
      </w:pPr>
    </w:p>
    <w:p w14:paraId="57453BDF" w14:textId="1062835F" w:rsidR="00634BE2" w:rsidRPr="00BD46D0" w:rsidRDefault="00634BE2" w:rsidP="00634BE2">
      <w:pPr>
        <w:pStyle w:val="Titre3"/>
        <w:jc w:val="both"/>
        <w:rPr>
          <w:rFonts w:ascii="Calibri" w:hAnsi="Calibri" w:cs="Calibri"/>
          <w:sz w:val="22"/>
          <w:szCs w:val="22"/>
        </w:rPr>
      </w:pPr>
      <w:bookmarkStart w:id="41" w:name="_Toc215734326"/>
      <w:bookmarkStart w:id="42" w:name="_Toc222900604"/>
      <w:r w:rsidRPr="00BD46D0">
        <w:rPr>
          <w:rFonts w:ascii="Calibri" w:hAnsi="Calibri" w:cs="Calibri"/>
          <w:sz w:val="22"/>
          <w:szCs w:val="22"/>
        </w:rPr>
        <w:t xml:space="preserve">B – Obligations en matière d ’égalité et de mixité dans les conditions de travail du personnel affecté à la réalisation du </w:t>
      </w:r>
      <w:bookmarkEnd w:id="41"/>
      <w:r w:rsidR="00BD46D0" w:rsidRPr="00BD46D0">
        <w:rPr>
          <w:rFonts w:ascii="Calibri" w:hAnsi="Calibri" w:cs="Calibri"/>
          <w:sz w:val="22"/>
          <w:szCs w:val="22"/>
        </w:rPr>
        <w:t>contrat :</w:t>
      </w:r>
      <w:bookmarkEnd w:id="42"/>
    </w:p>
    <w:p w14:paraId="1616B8CD" w14:textId="77777777" w:rsidR="00634BE2" w:rsidRPr="00BD46D0" w:rsidRDefault="00634BE2" w:rsidP="00634BE2">
      <w:pPr>
        <w:jc w:val="both"/>
        <w:rPr>
          <w:rFonts w:ascii="Calibri" w:hAnsi="Calibri" w:cs="Calibri"/>
          <w:sz w:val="20"/>
          <w:szCs w:val="20"/>
        </w:rPr>
      </w:pPr>
    </w:p>
    <w:p w14:paraId="00BC3B56" w14:textId="52DF8FB6" w:rsidR="00634BE2" w:rsidRDefault="00634BE2" w:rsidP="00634BE2">
      <w:pPr>
        <w:spacing w:after="0"/>
        <w:jc w:val="both"/>
        <w:rPr>
          <w:rFonts w:ascii="Calibri" w:hAnsi="Calibri" w:cs="Calibri"/>
          <w:b/>
          <w:bCs/>
          <w:sz w:val="20"/>
          <w:szCs w:val="20"/>
          <w:u w:val="single"/>
        </w:rPr>
      </w:pPr>
      <w:r w:rsidRPr="00BD46D0">
        <w:rPr>
          <w:rFonts w:ascii="Calibri" w:hAnsi="Calibri" w:cs="Calibri"/>
          <w:b/>
          <w:bCs/>
          <w:sz w:val="20"/>
          <w:szCs w:val="20"/>
          <w:u w:val="single"/>
        </w:rPr>
        <w:t>Egalité salariale</w:t>
      </w:r>
      <w:r w:rsidR="00BD46D0">
        <w:rPr>
          <w:rFonts w:ascii="Calibri" w:hAnsi="Calibri" w:cs="Calibri"/>
          <w:b/>
          <w:bCs/>
          <w:sz w:val="20"/>
          <w:szCs w:val="20"/>
          <w:u w:val="single"/>
        </w:rPr>
        <w:t> :</w:t>
      </w:r>
    </w:p>
    <w:p w14:paraId="76F5F89C" w14:textId="77777777" w:rsidR="00BD46D0" w:rsidRPr="00BD46D0" w:rsidRDefault="00BD46D0" w:rsidP="00634BE2">
      <w:pPr>
        <w:spacing w:after="0"/>
        <w:jc w:val="both"/>
        <w:rPr>
          <w:rFonts w:ascii="Calibri" w:hAnsi="Calibri" w:cs="Calibri"/>
          <w:b/>
          <w:bCs/>
          <w:sz w:val="20"/>
          <w:szCs w:val="20"/>
          <w:u w:val="single"/>
        </w:rPr>
      </w:pPr>
    </w:p>
    <w:p w14:paraId="503D01D2" w14:textId="77777777" w:rsidR="00634BE2" w:rsidRDefault="00634BE2" w:rsidP="00634BE2">
      <w:pPr>
        <w:spacing w:after="0"/>
        <w:jc w:val="both"/>
        <w:rPr>
          <w:rFonts w:ascii="Calibri" w:hAnsi="Calibri" w:cs="Calibri"/>
          <w:sz w:val="20"/>
          <w:szCs w:val="20"/>
        </w:rPr>
      </w:pPr>
      <w:r w:rsidRPr="00BD46D0">
        <w:rPr>
          <w:rFonts w:ascii="Calibri" w:hAnsi="Calibri" w:cs="Calibri"/>
          <w:sz w:val="20"/>
          <w:szCs w:val="20"/>
        </w:rPr>
        <w:t xml:space="preserve">Le code du travail impose, aux articles L. 3221-2 et suivants, que tout employeur assure, pour un même travail ou pour un travail de valeur égale, l’égalité de rémunération entre les femmes et les hommes. </w:t>
      </w:r>
    </w:p>
    <w:p w14:paraId="012857BB" w14:textId="77777777" w:rsidR="00BD46D0" w:rsidRPr="00BD46D0" w:rsidRDefault="00BD46D0" w:rsidP="00634BE2">
      <w:pPr>
        <w:spacing w:after="0"/>
        <w:jc w:val="both"/>
        <w:rPr>
          <w:rFonts w:ascii="Calibri" w:hAnsi="Calibri" w:cs="Calibri"/>
          <w:sz w:val="20"/>
          <w:szCs w:val="20"/>
        </w:rPr>
      </w:pPr>
    </w:p>
    <w:p w14:paraId="4F7BBC3E" w14:textId="644D4196" w:rsidR="00634BE2" w:rsidRPr="00BD46D0" w:rsidRDefault="00BD46D0" w:rsidP="00634BE2">
      <w:pPr>
        <w:spacing w:after="0"/>
        <w:jc w:val="both"/>
        <w:rPr>
          <w:rFonts w:ascii="Calibri" w:hAnsi="Calibri" w:cs="Calibri"/>
          <w:sz w:val="20"/>
          <w:szCs w:val="20"/>
        </w:rPr>
      </w:pPr>
      <w:r w:rsidRPr="00BD46D0">
        <w:rPr>
          <w:rFonts w:ascii="Calibri" w:hAnsi="Calibri" w:cs="Calibri"/>
          <w:sz w:val="20"/>
          <w:szCs w:val="20"/>
        </w:rPr>
        <w:t>L’article</w:t>
      </w:r>
      <w:r w:rsidR="00634BE2" w:rsidRPr="00BD46D0">
        <w:rPr>
          <w:rFonts w:ascii="Calibri" w:hAnsi="Calibri" w:cs="Calibri"/>
          <w:sz w:val="20"/>
          <w:szCs w:val="20"/>
        </w:rPr>
        <w:t xml:space="preserve"> 6 du CCAG prévoit que « le titulaire est tenu au respect des huit conventions fondamentales de l’Organisation internationale du travail (OIT) lorsque celles-ci ne sont pas intégrées dans les lois et règlements du pays ». Parmi ces conventions, celles sur l’égalité de rémunération ou la discrimination contribuent à l’égalité femmes-hommes.</w:t>
      </w:r>
    </w:p>
    <w:p w14:paraId="58F16B7E" w14:textId="77777777" w:rsidR="00634BE2" w:rsidRPr="00634BE2" w:rsidRDefault="00634BE2" w:rsidP="00634BE2">
      <w:pPr>
        <w:spacing w:after="0"/>
        <w:jc w:val="both"/>
        <w:rPr>
          <w:rFonts w:ascii="Calibri" w:hAnsi="Calibri" w:cs="Calibri"/>
          <w:sz w:val="20"/>
          <w:szCs w:val="20"/>
          <w:highlight w:val="cyan"/>
        </w:rPr>
      </w:pPr>
    </w:p>
    <w:p w14:paraId="5705CA94" w14:textId="77777777" w:rsidR="00634BE2" w:rsidRPr="00634BE2" w:rsidRDefault="00634BE2" w:rsidP="00634BE2">
      <w:pPr>
        <w:spacing w:after="0"/>
        <w:rPr>
          <w:rFonts w:ascii="Calibri" w:hAnsi="Calibri" w:cs="Calibri"/>
          <w:sz w:val="20"/>
          <w:szCs w:val="20"/>
          <w:highlight w:val="cyan"/>
        </w:rPr>
      </w:pPr>
    </w:p>
    <w:p w14:paraId="14396350" w14:textId="1BB72522" w:rsidR="00634BE2" w:rsidRPr="00BD46D0" w:rsidRDefault="00634BE2" w:rsidP="00634BE2">
      <w:pPr>
        <w:pStyle w:val="Titre3"/>
        <w:jc w:val="both"/>
        <w:rPr>
          <w:rFonts w:ascii="Calibri" w:hAnsi="Calibri" w:cs="Calibri"/>
          <w:sz w:val="22"/>
          <w:szCs w:val="22"/>
        </w:rPr>
      </w:pPr>
      <w:bookmarkStart w:id="43" w:name="_Toc215734327"/>
      <w:bookmarkStart w:id="44" w:name="_Toc222900605"/>
      <w:r w:rsidRPr="00BD46D0">
        <w:rPr>
          <w:rFonts w:ascii="Calibri" w:hAnsi="Calibri" w:cs="Calibri"/>
          <w:sz w:val="22"/>
          <w:szCs w:val="22"/>
        </w:rPr>
        <w:t xml:space="preserve">C – Obligations en matière de lutte contre toutes les formes de </w:t>
      </w:r>
      <w:bookmarkEnd w:id="43"/>
      <w:r w:rsidR="00BD46D0" w:rsidRPr="00BD46D0">
        <w:rPr>
          <w:rFonts w:ascii="Calibri" w:hAnsi="Calibri" w:cs="Calibri"/>
          <w:sz w:val="22"/>
          <w:szCs w:val="22"/>
        </w:rPr>
        <w:t>discriminations :</w:t>
      </w:r>
      <w:bookmarkEnd w:id="44"/>
    </w:p>
    <w:p w14:paraId="78A3BBD7" w14:textId="77777777" w:rsidR="00634BE2" w:rsidRPr="00BD46D0" w:rsidRDefault="00634BE2" w:rsidP="00634BE2">
      <w:pPr>
        <w:rPr>
          <w:rFonts w:ascii="Calibri" w:hAnsi="Calibri" w:cs="Calibri"/>
          <w:sz w:val="20"/>
          <w:szCs w:val="20"/>
        </w:rPr>
      </w:pPr>
    </w:p>
    <w:p w14:paraId="3C6A27C2" w14:textId="5343E6CD" w:rsidR="00634BE2" w:rsidRPr="00BD46D0" w:rsidRDefault="00634BE2" w:rsidP="00634BE2">
      <w:pPr>
        <w:spacing w:after="0"/>
        <w:rPr>
          <w:rFonts w:ascii="Calibri" w:hAnsi="Calibri" w:cs="Calibri"/>
          <w:b/>
          <w:bCs/>
          <w:sz w:val="20"/>
          <w:szCs w:val="20"/>
          <w:u w:val="single"/>
        </w:rPr>
      </w:pPr>
      <w:r w:rsidRPr="00BD46D0">
        <w:rPr>
          <w:rFonts w:ascii="Calibri" w:hAnsi="Calibri" w:cs="Calibri"/>
          <w:b/>
          <w:bCs/>
          <w:sz w:val="20"/>
          <w:szCs w:val="20"/>
          <w:u w:val="single"/>
        </w:rPr>
        <w:t>Le titulaire s’interdit toute forme de discrimination liée</w:t>
      </w:r>
      <w:r w:rsidR="00BD46D0" w:rsidRPr="00BD46D0">
        <w:rPr>
          <w:rFonts w:ascii="Calibri" w:hAnsi="Calibri" w:cs="Calibri"/>
          <w:b/>
          <w:bCs/>
          <w:sz w:val="20"/>
          <w:szCs w:val="20"/>
          <w:u w:val="single"/>
        </w:rPr>
        <w:t> :</w:t>
      </w:r>
    </w:p>
    <w:p w14:paraId="244EF59E" w14:textId="77777777" w:rsidR="00BD46D0" w:rsidRPr="00BD46D0" w:rsidRDefault="00BD46D0" w:rsidP="00634BE2">
      <w:pPr>
        <w:spacing w:after="0"/>
        <w:rPr>
          <w:rFonts w:ascii="Calibri" w:hAnsi="Calibri" w:cs="Calibri"/>
          <w:sz w:val="20"/>
          <w:szCs w:val="20"/>
        </w:rPr>
      </w:pPr>
    </w:p>
    <w:p w14:paraId="4F8412AB" w14:textId="59991E4E" w:rsidR="00634BE2" w:rsidRPr="00BD46D0" w:rsidRDefault="00634BE2" w:rsidP="00BD46D0">
      <w:pPr>
        <w:pStyle w:val="Paragraphedeliste"/>
        <w:numPr>
          <w:ilvl w:val="0"/>
          <w:numId w:val="34"/>
        </w:numPr>
        <w:spacing w:after="0"/>
        <w:rPr>
          <w:rFonts w:ascii="Calibri" w:hAnsi="Calibri" w:cs="Calibri"/>
          <w:sz w:val="20"/>
          <w:szCs w:val="20"/>
        </w:rPr>
      </w:pPr>
      <w:r w:rsidRPr="00BD46D0">
        <w:rPr>
          <w:rFonts w:ascii="Calibri" w:hAnsi="Calibri" w:cs="Calibri"/>
          <w:sz w:val="20"/>
          <w:szCs w:val="20"/>
        </w:rPr>
        <w:t>A l’origine et nationalité</w:t>
      </w:r>
    </w:p>
    <w:p w14:paraId="18CD181E" w14:textId="77777777" w:rsidR="00634BE2" w:rsidRPr="00BD46D0"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Interdiction de toute discrimination liée à l’origine, la nationalité ou l’ethnie.</w:t>
      </w:r>
    </w:p>
    <w:p w14:paraId="0F230341" w14:textId="77777777" w:rsidR="00634BE2"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Engagement à favoriser la diversité culturelle dans les équipes affectées au marché.</w:t>
      </w:r>
    </w:p>
    <w:p w14:paraId="35758CC5" w14:textId="77777777" w:rsidR="00BD46D0" w:rsidRPr="00BD46D0" w:rsidRDefault="00BD46D0" w:rsidP="00BD46D0">
      <w:pPr>
        <w:pStyle w:val="Paragraphedeliste"/>
        <w:spacing w:after="0"/>
        <w:ind w:left="1440"/>
        <w:rPr>
          <w:rFonts w:ascii="Calibri" w:hAnsi="Calibri" w:cs="Calibri"/>
          <w:sz w:val="20"/>
          <w:szCs w:val="20"/>
        </w:rPr>
      </w:pPr>
    </w:p>
    <w:p w14:paraId="4D408B9C" w14:textId="622C7245" w:rsidR="00634BE2" w:rsidRPr="00BD46D0" w:rsidRDefault="00634BE2" w:rsidP="00BD46D0">
      <w:pPr>
        <w:pStyle w:val="Paragraphedeliste"/>
        <w:numPr>
          <w:ilvl w:val="0"/>
          <w:numId w:val="34"/>
        </w:numPr>
        <w:spacing w:after="0"/>
        <w:rPr>
          <w:rFonts w:ascii="Calibri" w:hAnsi="Calibri" w:cs="Calibri"/>
          <w:sz w:val="20"/>
          <w:szCs w:val="20"/>
        </w:rPr>
      </w:pPr>
      <w:r w:rsidRPr="00BD46D0">
        <w:rPr>
          <w:rFonts w:ascii="Calibri" w:hAnsi="Calibri" w:cs="Calibri"/>
          <w:sz w:val="20"/>
          <w:szCs w:val="20"/>
        </w:rPr>
        <w:t>Au handicap</w:t>
      </w:r>
    </w:p>
    <w:p w14:paraId="4038C5F3" w14:textId="77777777" w:rsidR="00634BE2" w:rsidRPr="00BD46D0"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Obligation d’accessibilité des postes et des lieux de travail pour les personnes en situation de handicap.</w:t>
      </w:r>
    </w:p>
    <w:p w14:paraId="5D0ED2CB" w14:textId="77777777" w:rsidR="00634BE2"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Encouragement à recruter des travailleurs handicapés ou à sous-traiter à des entreprises adaptées.</w:t>
      </w:r>
    </w:p>
    <w:p w14:paraId="1F6A2E05" w14:textId="77777777" w:rsidR="00BD46D0" w:rsidRPr="00BD46D0" w:rsidRDefault="00BD46D0" w:rsidP="00BD46D0">
      <w:pPr>
        <w:pStyle w:val="Paragraphedeliste"/>
        <w:spacing w:after="0"/>
        <w:ind w:left="1440"/>
        <w:rPr>
          <w:rFonts w:ascii="Calibri" w:hAnsi="Calibri" w:cs="Calibri"/>
          <w:sz w:val="20"/>
          <w:szCs w:val="20"/>
        </w:rPr>
      </w:pPr>
    </w:p>
    <w:p w14:paraId="1CB99595" w14:textId="79A62C0B" w:rsidR="00634BE2" w:rsidRPr="00BD46D0" w:rsidRDefault="00634BE2" w:rsidP="00BD46D0">
      <w:pPr>
        <w:pStyle w:val="Paragraphedeliste"/>
        <w:numPr>
          <w:ilvl w:val="0"/>
          <w:numId w:val="34"/>
        </w:numPr>
        <w:spacing w:after="0"/>
        <w:rPr>
          <w:rFonts w:ascii="Calibri" w:hAnsi="Calibri" w:cs="Calibri"/>
          <w:sz w:val="20"/>
          <w:szCs w:val="20"/>
        </w:rPr>
      </w:pPr>
      <w:r w:rsidRPr="00BD46D0">
        <w:rPr>
          <w:rFonts w:ascii="Calibri" w:hAnsi="Calibri" w:cs="Calibri"/>
          <w:sz w:val="20"/>
          <w:szCs w:val="20"/>
        </w:rPr>
        <w:lastRenderedPageBreak/>
        <w:t>A l’orientation sexuelle et identité de genre</w:t>
      </w:r>
    </w:p>
    <w:p w14:paraId="16AC34D2" w14:textId="77777777" w:rsidR="00634BE2" w:rsidRPr="00BD46D0"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Interdiction des comportements discriminatoires ou des propos homophobes/transphobes.</w:t>
      </w:r>
    </w:p>
    <w:p w14:paraId="67731EE6" w14:textId="77777777" w:rsidR="00634BE2"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Sensibilisation des équipes à la diversité et à l’inclusion LGBTQ+.</w:t>
      </w:r>
    </w:p>
    <w:p w14:paraId="3061C5FA" w14:textId="77777777" w:rsidR="00BD46D0" w:rsidRPr="00BD46D0" w:rsidRDefault="00BD46D0" w:rsidP="00BD46D0">
      <w:pPr>
        <w:pStyle w:val="Paragraphedeliste"/>
        <w:spacing w:after="0"/>
        <w:ind w:left="1440"/>
        <w:rPr>
          <w:rFonts w:ascii="Calibri" w:hAnsi="Calibri" w:cs="Calibri"/>
          <w:sz w:val="20"/>
          <w:szCs w:val="20"/>
        </w:rPr>
      </w:pPr>
    </w:p>
    <w:p w14:paraId="467549C0" w14:textId="74741EEF" w:rsidR="00634BE2" w:rsidRPr="00BD46D0" w:rsidRDefault="00634BE2" w:rsidP="00BD46D0">
      <w:pPr>
        <w:pStyle w:val="Paragraphedeliste"/>
        <w:numPr>
          <w:ilvl w:val="0"/>
          <w:numId w:val="34"/>
        </w:numPr>
        <w:spacing w:after="0"/>
        <w:rPr>
          <w:rFonts w:ascii="Calibri" w:hAnsi="Calibri" w:cs="Calibri"/>
          <w:sz w:val="20"/>
          <w:szCs w:val="20"/>
        </w:rPr>
      </w:pPr>
      <w:r w:rsidRPr="00BD46D0">
        <w:rPr>
          <w:rFonts w:ascii="Calibri" w:hAnsi="Calibri" w:cs="Calibri"/>
          <w:sz w:val="20"/>
          <w:szCs w:val="20"/>
        </w:rPr>
        <w:t>A l’âge</w:t>
      </w:r>
    </w:p>
    <w:p w14:paraId="1C9B2FAE" w14:textId="77777777" w:rsidR="00634BE2" w:rsidRPr="00BD46D0"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Engagement à ne pas exclure les seniors ou les jeunes dans les recrutements liés au marché.</w:t>
      </w:r>
    </w:p>
    <w:p w14:paraId="0880F364" w14:textId="77777777" w:rsidR="00634BE2" w:rsidRDefault="00634BE2" w:rsidP="00BD46D0">
      <w:pPr>
        <w:pStyle w:val="Paragraphedeliste"/>
        <w:numPr>
          <w:ilvl w:val="1"/>
          <w:numId w:val="34"/>
        </w:numPr>
        <w:spacing w:after="0"/>
        <w:rPr>
          <w:rFonts w:ascii="Calibri" w:hAnsi="Calibri" w:cs="Calibri"/>
          <w:sz w:val="20"/>
          <w:szCs w:val="20"/>
        </w:rPr>
      </w:pPr>
      <w:r w:rsidRPr="00BD46D0">
        <w:rPr>
          <w:rFonts w:ascii="Calibri" w:hAnsi="Calibri" w:cs="Calibri"/>
          <w:sz w:val="20"/>
          <w:szCs w:val="20"/>
        </w:rPr>
        <w:t>Possibilité de prévoir des actions de tutorat intergénérationnel.</w:t>
      </w:r>
    </w:p>
    <w:p w14:paraId="1A28C614" w14:textId="77777777" w:rsidR="00BD46D0" w:rsidRPr="00BD46D0" w:rsidRDefault="00BD46D0" w:rsidP="00BD46D0">
      <w:pPr>
        <w:pStyle w:val="Paragraphedeliste"/>
        <w:spacing w:after="0"/>
        <w:ind w:left="1440"/>
        <w:rPr>
          <w:rFonts w:ascii="Calibri" w:hAnsi="Calibri" w:cs="Calibri"/>
          <w:sz w:val="20"/>
          <w:szCs w:val="20"/>
        </w:rPr>
      </w:pPr>
    </w:p>
    <w:p w14:paraId="5605FA40" w14:textId="0DB08129" w:rsidR="00634BE2" w:rsidRDefault="00634BE2" w:rsidP="00BD46D0">
      <w:pPr>
        <w:pStyle w:val="Paragraphedeliste"/>
        <w:numPr>
          <w:ilvl w:val="0"/>
          <w:numId w:val="34"/>
        </w:numPr>
        <w:spacing w:after="0"/>
        <w:rPr>
          <w:rFonts w:ascii="Calibri" w:hAnsi="Calibri" w:cs="Calibri"/>
          <w:sz w:val="20"/>
          <w:szCs w:val="20"/>
        </w:rPr>
      </w:pPr>
      <w:r w:rsidRPr="00BD46D0">
        <w:rPr>
          <w:rFonts w:ascii="Calibri" w:hAnsi="Calibri" w:cs="Calibri"/>
          <w:sz w:val="20"/>
          <w:szCs w:val="20"/>
        </w:rPr>
        <w:t>A la religion et aux convictions</w:t>
      </w:r>
    </w:p>
    <w:p w14:paraId="5BD06E25" w14:textId="77777777" w:rsidR="00BD46D0" w:rsidRPr="00BD46D0" w:rsidRDefault="00BD46D0" w:rsidP="00BD46D0">
      <w:pPr>
        <w:pStyle w:val="Paragraphedeliste"/>
        <w:spacing w:after="0"/>
        <w:rPr>
          <w:rFonts w:ascii="Calibri" w:hAnsi="Calibri" w:cs="Calibri"/>
          <w:sz w:val="20"/>
          <w:szCs w:val="20"/>
        </w:rPr>
      </w:pPr>
    </w:p>
    <w:p w14:paraId="3E5E488F" w14:textId="77777777" w:rsidR="00634BE2" w:rsidRPr="00BD46D0" w:rsidRDefault="00634BE2" w:rsidP="00634BE2">
      <w:pPr>
        <w:spacing w:after="0"/>
        <w:rPr>
          <w:rFonts w:ascii="Calibri" w:hAnsi="Calibri" w:cs="Calibri"/>
          <w:sz w:val="20"/>
          <w:szCs w:val="20"/>
        </w:rPr>
      </w:pPr>
      <w:r w:rsidRPr="00BD46D0">
        <w:rPr>
          <w:rFonts w:ascii="Calibri" w:hAnsi="Calibri" w:cs="Calibri"/>
          <w:sz w:val="20"/>
          <w:szCs w:val="20"/>
        </w:rPr>
        <w:t>Respect des convictions religieuses dans le cadre du travail (ex. aménagement raisonnable des horaires pour certaines fêtes, si compatible avec le service).</w:t>
      </w:r>
    </w:p>
    <w:p w14:paraId="69B00978" w14:textId="77777777" w:rsidR="00634BE2" w:rsidRPr="00634BE2" w:rsidRDefault="00634BE2" w:rsidP="00634BE2">
      <w:pPr>
        <w:spacing w:after="0"/>
        <w:rPr>
          <w:rFonts w:ascii="Calibri" w:hAnsi="Calibri" w:cs="Calibri"/>
          <w:sz w:val="20"/>
          <w:szCs w:val="20"/>
        </w:rPr>
      </w:pPr>
    </w:p>
    <w:p w14:paraId="7A879FDF" w14:textId="4B2C6DB6" w:rsidR="00BD7ABD" w:rsidRPr="00634BE2" w:rsidRDefault="00634BE2" w:rsidP="00734E1D">
      <w:pPr>
        <w:jc w:val="both"/>
        <w:rPr>
          <w:rFonts w:eastAsiaTheme="majorEastAsia" w:cstheme="minorHAnsi"/>
          <w:color w:val="C45911" w:themeColor="accent2" w:themeShade="BF"/>
          <w:sz w:val="24"/>
          <w:szCs w:val="24"/>
        </w:rPr>
      </w:pPr>
      <w:r w:rsidRPr="00734E1D">
        <w:rPr>
          <w:rFonts w:cstheme="minorHAnsi"/>
          <w:noProof/>
          <w:u w:val="single"/>
          <w:lang w:eastAsia="fr-FR"/>
        </w:rPr>
        <w:drawing>
          <wp:anchor distT="0" distB="0" distL="114300" distR="114300" simplePos="0" relativeHeight="251669504" behindDoc="1" locked="0" layoutInCell="1" allowOverlap="1" wp14:anchorId="0B695B13" wp14:editId="0EEAFD08">
            <wp:simplePos x="0" y="0"/>
            <wp:positionH relativeFrom="margin">
              <wp:posOffset>5138420</wp:posOffset>
            </wp:positionH>
            <wp:positionV relativeFrom="paragraph">
              <wp:posOffset>10160</wp:posOffset>
            </wp:positionV>
            <wp:extent cx="941070" cy="612775"/>
            <wp:effectExtent l="0" t="0" r="0" b="0"/>
            <wp:wrapTight wrapText="bothSides">
              <wp:wrapPolygon edited="0">
                <wp:start x="0" y="0"/>
                <wp:lineTo x="0" y="20817"/>
                <wp:lineTo x="20988" y="20817"/>
                <wp:lineTo x="20988"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941070" cy="612775"/>
                    </a:xfrm>
                    <a:prstGeom prst="rect">
                      <a:avLst/>
                    </a:prstGeom>
                  </pic:spPr>
                </pic:pic>
              </a:graphicData>
            </a:graphic>
            <wp14:sizeRelH relativeFrom="page">
              <wp14:pctWidth>0</wp14:pctWidth>
            </wp14:sizeRelH>
            <wp14:sizeRelV relativeFrom="page">
              <wp14:pctHeight>0</wp14:pctHeight>
            </wp14:sizeRelV>
          </wp:anchor>
        </w:drawing>
      </w:r>
    </w:p>
    <w:p w14:paraId="42485F8F" w14:textId="7C35EBA6" w:rsidR="00634BE2" w:rsidRPr="00634BE2" w:rsidRDefault="00634BE2" w:rsidP="00634BE2">
      <w:pPr>
        <w:pStyle w:val="Titre2"/>
        <w:numPr>
          <w:ilvl w:val="0"/>
          <w:numId w:val="12"/>
        </w:numPr>
        <w:ind w:left="644" w:hanging="360"/>
        <w:jc w:val="both"/>
        <w:rPr>
          <w:rFonts w:ascii="Calibri" w:hAnsi="Calibri" w:cs="Calibri"/>
          <w:sz w:val="22"/>
          <w:szCs w:val="22"/>
          <w:u w:val="single"/>
        </w:rPr>
      </w:pPr>
      <w:bookmarkStart w:id="45" w:name="_Toc215734328"/>
      <w:bookmarkStart w:id="46" w:name="_Toc222900606"/>
      <w:r w:rsidRPr="00634BE2">
        <w:rPr>
          <w:rFonts w:ascii="Calibri" w:hAnsi="Calibri" w:cs="Calibri"/>
          <w:sz w:val="22"/>
          <w:szCs w:val="22"/>
          <w:u w:val="single"/>
        </w:rPr>
        <w:t>Commerce équitable, respect des exigences éthiques et devoir de vigilanc</w:t>
      </w:r>
      <w:bookmarkEnd w:id="45"/>
      <w:r w:rsidRPr="00634BE2">
        <w:rPr>
          <w:rFonts w:ascii="Calibri" w:hAnsi="Calibri" w:cs="Calibri"/>
          <w:sz w:val="22"/>
          <w:szCs w:val="22"/>
          <w:u w:val="single"/>
        </w:rPr>
        <w:t>e</w:t>
      </w:r>
      <w:bookmarkEnd w:id="46"/>
    </w:p>
    <w:p w14:paraId="642E60AE" w14:textId="7FB7D9D3" w:rsidR="00634BE2" w:rsidRPr="00634BE2" w:rsidRDefault="00634BE2" w:rsidP="00634BE2">
      <w:pPr>
        <w:jc w:val="both"/>
        <w:rPr>
          <w:rFonts w:ascii="Calibri" w:hAnsi="Calibri" w:cs="Calibri"/>
          <w:sz w:val="20"/>
          <w:szCs w:val="20"/>
        </w:rPr>
      </w:pPr>
    </w:p>
    <w:p w14:paraId="623FE1A7" w14:textId="77777777" w:rsidR="00634BE2" w:rsidRPr="00634BE2" w:rsidRDefault="00634BE2" w:rsidP="00634BE2">
      <w:pPr>
        <w:jc w:val="both"/>
        <w:rPr>
          <w:rFonts w:ascii="Calibri" w:hAnsi="Calibri" w:cs="Calibri"/>
          <w:sz w:val="20"/>
          <w:szCs w:val="20"/>
        </w:rPr>
      </w:pPr>
      <w:r w:rsidRPr="00634BE2">
        <w:rPr>
          <w:rFonts w:ascii="Calibri" w:hAnsi="Calibri" w:cs="Calibri"/>
          <w:sz w:val="20"/>
          <w:szCs w:val="20"/>
        </w:rPr>
        <w:t>Le titulaire doit garantir que les produits et services fournis dans le cadre du marché respectent les principes du commerce équitable, les droits fondamentaux des travailleurs et des conditions de travail dignes tout au long de la chaîne d’approvisionnement.</w:t>
      </w:r>
    </w:p>
    <w:p w14:paraId="47C0B9D4" w14:textId="29E45025" w:rsidR="00634BE2" w:rsidRDefault="00634BE2" w:rsidP="00634BE2">
      <w:pPr>
        <w:spacing w:after="0"/>
        <w:jc w:val="both"/>
        <w:rPr>
          <w:rFonts w:ascii="Calibri" w:hAnsi="Calibri" w:cs="Calibri"/>
          <w:b/>
          <w:bCs/>
          <w:sz w:val="20"/>
          <w:szCs w:val="20"/>
          <w:u w:val="single"/>
        </w:rPr>
      </w:pPr>
      <w:r w:rsidRPr="00634BE2">
        <w:rPr>
          <w:rFonts w:ascii="Calibri" w:hAnsi="Calibri" w:cs="Calibri"/>
          <w:b/>
          <w:bCs/>
          <w:sz w:val="20"/>
          <w:szCs w:val="20"/>
          <w:u w:val="single"/>
        </w:rPr>
        <w:t>A ce titre le titulaire</w:t>
      </w:r>
      <w:r>
        <w:rPr>
          <w:rFonts w:ascii="Calibri" w:hAnsi="Calibri" w:cs="Calibri"/>
          <w:b/>
          <w:bCs/>
          <w:sz w:val="20"/>
          <w:szCs w:val="20"/>
          <w:u w:val="single"/>
        </w:rPr>
        <w:t> :</w:t>
      </w:r>
    </w:p>
    <w:p w14:paraId="4DC3EC17" w14:textId="77777777" w:rsidR="00634BE2" w:rsidRPr="00634BE2" w:rsidRDefault="00634BE2" w:rsidP="00634BE2">
      <w:pPr>
        <w:spacing w:after="0"/>
        <w:jc w:val="both"/>
        <w:rPr>
          <w:rFonts w:ascii="Calibri" w:hAnsi="Calibri" w:cs="Calibri"/>
          <w:b/>
          <w:bCs/>
          <w:sz w:val="20"/>
          <w:szCs w:val="20"/>
          <w:u w:val="single"/>
        </w:rPr>
      </w:pPr>
    </w:p>
    <w:p w14:paraId="47A5E503" w14:textId="40FC2F8C" w:rsidR="00634BE2" w:rsidRPr="00634BE2" w:rsidRDefault="00634BE2" w:rsidP="00634BE2">
      <w:pPr>
        <w:pStyle w:val="Paragraphedeliste"/>
        <w:numPr>
          <w:ilvl w:val="0"/>
          <w:numId w:val="32"/>
        </w:numPr>
        <w:spacing w:after="0"/>
        <w:jc w:val="both"/>
        <w:rPr>
          <w:rFonts w:ascii="Calibri" w:hAnsi="Calibri" w:cs="Calibri"/>
          <w:sz w:val="20"/>
          <w:szCs w:val="20"/>
        </w:rPr>
      </w:pPr>
      <w:r>
        <w:rPr>
          <w:rFonts w:ascii="Calibri" w:hAnsi="Calibri" w:cs="Calibri"/>
          <w:sz w:val="20"/>
          <w:szCs w:val="20"/>
        </w:rPr>
        <w:t>D</w:t>
      </w:r>
      <w:r w:rsidRPr="00634BE2">
        <w:rPr>
          <w:rFonts w:ascii="Calibri" w:hAnsi="Calibri" w:cs="Calibri"/>
          <w:sz w:val="20"/>
          <w:szCs w:val="20"/>
        </w:rPr>
        <w:t>oit respect les droits humains et les normes internationales</w:t>
      </w:r>
    </w:p>
    <w:p w14:paraId="424F8C9D" w14:textId="77777777" w:rsidR="00634BE2" w:rsidRPr="00634BE2" w:rsidRDefault="00634BE2" w:rsidP="00634BE2">
      <w:pPr>
        <w:numPr>
          <w:ilvl w:val="1"/>
          <w:numId w:val="32"/>
        </w:numPr>
        <w:spacing w:after="0"/>
        <w:jc w:val="both"/>
        <w:rPr>
          <w:rFonts w:ascii="Calibri" w:hAnsi="Calibri" w:cs="Calibri"/>
          <w:sz w:val="20"/>
          <w:szCs w:val="20"/>
        </w:rPr>
      </w:pPr>
      <w:r w:rsidRPr="00634BE2">
        <w:rPr>
          <w:rFonts w:ascii="Calibri" w:hAnsi="Calibri" w:cs="Calibri"/>
          <w:sz w:val="20"/>
          <w:szCs w:val="20"/>
        </w:rPr>
        <w:t>Conformité aux conventions fondamentales de l’OIT (interdiction du travail forcé et du travail des enfants, liberté syndicale, non-discrimination).</w:t>
      </w:r>
    </w:p>
    <w:p w14:paraId="00D24BCA" w14:textId="77777777" w:rsidR="00634BE2" w:rsidRDefault="00634BE2" w:rsidP="00634BE2">
      <w:pPr>
        <w:numPr>
          <w:ilvl w:val="1"/>
          <w:numId w:val="32"/>
        </w:numPr>
        <w:spacing w:after="0"/>
        <w:jc w:val="both"/>
        <w:rPr>
          <w:rFonts w:ascii="Calibri" w:hAnsi="Calibri" w:cs="Calibri"/>
          <w:sz w:val="20"/>
          <w:szCs w:val="20"/>
        </w:rPr>
      </w:pPr>
      <w:r w:rsidRPr="00634BE2">
        <w:rPr>
          <w:rFonts w:ascii="Calibri" w:hAnsi="Calibri" w:cs="Calibri"/>
          <w:sz w:val="20"/>
          <w:szCs w:val="20"/>
        </w:rPr>
        <w:t xml:space="preserve">Engagement à respecter les droits humains dans l’ensemble de la chaîne d’approvisionnement </w:t>
      </w:r>
    </w:p>
    <w:p w14:paraId="248DC38A" w14:textId="77777777" w:rsidR="00634BE2" w:rsidRPr="00634BE2" w:rsidRDefault="00634BE2" w:rsidP="00634BE2">
      <w:pPr>
        <w:spacing w:after="0"/>
        <w:ind w:left="1440"/>
        <w:jc w:val="both"/>
        <w:rPr>
          <w:rFonts w:ascii="Calibri" w:hAnsi="Calibri" w:cs="Calibri"/>
          <w:sz w:val="20"/>
          <w:szCs w:val="20"/>
        </w:rPr>
      </w:pPr>
    </w:p>
    <w:p w14:paraId="1EB23550" w14:textId="5C3A2FAC" w:rsidR="00634BE2" w:rsidRPr="00634BE2" w:rsidRDefault="00634BE2" w:rsidP="00634BE2">
      <w:pPr>
        <w:pStyle w:val="Paragraphedeliste"/>
        <w:numPr>
          <w:ilvl w:val="0"/>
          <w:numId w:val="32"/>
        </w:numPr>
        <w:spacing w:after="0"/>
        <w:jc w:val="both"/>
        <w:rPr>
          <w:rFonts w:ascii="Calibri" w:hAnsi="Calibri" w:cs="Calibri"/>
          <w:sz w:val="20"/>
          <w:szCs w:val="20"/>
        </w:rPr>
      </w:pPr>
      <w:r>
        <w:rPr>
          <w:rFonts w:ascii="Calibri" w:hAnsi="Calibri" w:cs="Calibri"/>
          <w:sz w:val="20"/>
          <w:szCs w:val="20"/>
        </w:rPr>
        <w:t>D</w:t>
      </w:r>
      <w:r w:rsidRPr="00634BE2">
        <w:rPr>
          <w:rFonts w:ascii="Calibri" w:hAnsi="Calibri" w:cs="Calibri"/>
          <w:sz w:val="20"/>
          <w:szCs w:val="20"/>
        </w:rPr>
        <w:t>oit mettre en place des mesures de santé et sécurité au travail</w:t>
      </w:r>
    </w:p>
    <w:p w14:paraId="35B408FE" w14:textId="77777777" w:rsidR="00634BE2" w:rsidRPr="00634BE2" w:rsidRDefault="00634BE2" w:rsidP="00634BE2">
      <w:pPr>
        <w:numPr>
          <w:ilvl w:val="1"/>
          <w:numId w:val="32"/>
        </w:numPr>
        <w:spacing w:after="0"/>
        <w:jc w:val="both"/>
        <w:rPr>
          <w:rFonts w:ascii="Calibri" w:hAnsi="Calibri" w:cs="Calibri"/>
          <w:sz w:val="20"/>
          <w:szCs w:val="20"/>
        </w:rPr>
      </w:pPr>
      <w:r w:rsidRPr="00634BE2">
        <w:rPr>
          <w:rFonts w:ascii="Calibri" w:hAnsi="Calibri" w:cs="Calibri"/>
          <w:sz w:val="20"/>
          <w:szCs w:val="20"/>
        </w:rPr>
        <w:t xml:space="preserve">Mise en place de mesures garantissant la sécurité des salariés affectés au marché </w:t>
      </w:r>
    </w:p>
    <w:p w14:paraId="56C9CFD3" w14:textId="77777777" w:rsidR="00634BE2" w:rsidRPr="00634BE2" w:rsidRDefault="00634BE2" w:rsidP="00634BE2">
      <w:pPr>
        <w:numPr>
          <w:ilvl w:val="1"/>
          <w:numId w:val="32"/>
        </w:numPr>
        <w:spacing w:after="0"/>
        <w:jc w:val="both"/>
        <w:rPr>
          <w:rFonts w:ascii="Calibri" w:hAnsi="Calibri" w:cs="Calibri"/>
          <w:sz w:val="20"/>
          <w:szCs w:val="20"/>
        </w:rPr>
      </w:pPr>
      <w:r w:rsidRPr="00634BE2">
        <w:rPr>
          <w:rFonts w:ascii="Calibri" w:hAnsi="Calibri" w:cs="Calibri"/>
          <w:sz w:val="20"/>
          <w:szCs w:val="20"/>
        </w:rPr>
        <w:t>Organisation d’au moins une session de formation sécurité pour le personnel intervenant sur site.</w:t>
      </w:r>
    </w:p>
    <w:p w14:paraId="1736C831" w14:textId="77777777" w:rsidR="00634BE2" w:rsidRDefault="00634BE2" w:rsidP="00634BE2">
      <w:pPr>
        <w:numPr>
          <w:ilvl w:val="1"/>
          <w:numId w:val="32"/>
        </w:numPr>
        <w:spacing w:after="0"/>
        <w:jc w:val="both"/>
        <w:rPr>
          <w:rFonts w:ascii="Calibri" w:hAnsi="Calibri" w:cs="Calibri"/>
          <w:sz w:val="20"/>
          <w:szCs w:val="20"/>
        </w:rPr>
      </w:pPr>
      <w:r w:rsidRPr="00634BE2">
        <w:rPr>
          <w:rFonts w:ascii="Calibri" w:hAnsi="Calibri" w:cs="Calibri"/>
          <w:sz w:val="20"/>
          <w:szCs w:val="20"/>
        </w:rPr>
        <w:t>Fourniture des équipements de protection individuelle (EPI) adaptés.</w:t>
      </w:r>
    </w:p>
    <w:p w14:paraId="3EECB104" w14:textId="77777777" w:rsidR="00634BE2" w:rsidRPr="00634BE2" w:rsidRDefault="00634BE2" w:rsidP="00634BE2">
      <w:pPr>
        <w:spacing w:after="0"/>
        <w:ind w:left="1440"/>
        <w:jc w:val="both"/>
        <w:rPr>
          <w:rFonts w:ascii="Calibri" w:hAnsi="Calibri" w:cs="Calibri"/>
          <w:sz w:val="20"/>
          <w:szCs w:val="20"/>
        </w:rPr>
      </w:pPr>
    </w:p>
    <w:p w14:paraId="2BAAC0EA" w14:textId="3BE18C3F" w:rsidR="00634BE2" w:rsidRPr="00634BE2" w:rsidRDefault="00634BE2" w:rsidP="00634BE2">
      <w:pPr>
        <w:pStyle w:val="Paragraphedeliste"/>
        <w:numPr>
          <w:ilvl w:val="0"/>
          <w:numId w:val="32"/>
        </w:numPr>
        <w:spacing w:after="0"/>
        <w:jc w:val="both"/>
        <w:rPr>
          <w:rFonts w:ascii="Calibri" w:hAnsi="Calibri" w:cs="Calibri"/>
          <w:sz w:val="20"/>
          <w:szCs w:val="20"/>
        </w:rPr>
      </w:pPr>
      <w:r>
        <w:rPr>
          <w:rFonts w:ascii="Calibri" w:hAnsi="Calibri" w:cs="Calibri"/>
          <w:sz w:val="20"/>
          <w:szCs w:val="20"/>
        </w:rPr>
        <w:t>D</w:t>
      </w:r>
      <w:r w:rsidRPr="00634BE2">
        <w:rPr>
          <w:rFonts w:ascii="Calibri" w:hAnsi="Calibri" w:cs="Calibri"/>
          <w:sz w:val="20"/>
          <w:szCs w:val="20"/>
        </w:rPr>
        <w:t>oit assurer des conditions de travail dignes</w:t>
      </w:r>
    </w:p>
    <w:p w14:paraId="50B7A4ED" w14:textId="77777777" w:rsidR="00634BE2" w:rsidRPr="00634BE2" w:rsidRDefault="00634BE2" w:rsidP="00634BE2">
      <w:pPr>
        <w:numPr>
          <w:ilvl w:val="1"/>
          <w:numId w:val="32"/>
        </w:numPr>
        <w:spacing w:after="0"/>
        <w:jc w:val="both"/>
        <w:rPr>
          <w:rFonts w:ascii="Calibri" w:hAnsi="Calibri" w:cs="Calibri"/>
          <w:sz w:val="20"/>
          <w:szCs w:val="20"/>
        </w:rPr>
      </w:pPr>
      <w:r w:rsidRPr="00634BE2">
        <w:rPr>
          <w:rFonts w:ascii="Calibri" w:hAnsi="Calibri" w:cs="Calibri"/>
          <w:sz w:val="20"/>
          <w:szCs w:val="20"/>
        </w:rPr>
        <w:t>Respect des temps de repos, des horaires légaux et des conditions salariales conformes à la réglementation.</w:t>
      </w:r>
    </w:p>
    <w:p w14:paraId="303F02B9" w14:textId="77777777" w:rsidR="00634BE2" w:rsidRPr="00634BE2" w:rsidRDefault="00634BE2" w:rsidP="00634BE2">
      <w:pPr>
        <w:numPr>
          <w:ilvl w:val="1"/>
          <w:numId w:val="32"/>
        </w:numPr>
        <w:spacing w:after="0"/>
        <w:jc w:val="both"/>
        <w:rPr>
          <w:rFonts w:ascii="Calibri" w:hAnsi="Calibri" w:cs="Calibri"/>
          <w:sz w:val="20"/>
          <w:szCs w:val="20"/>
        </w:rPr>
      </w:pPr>
      <w:r w:rsidRPr="00634BE2">
        <w:rPr>
          <w:rFonts w:ascii="Calibri" w:hAnsi="Calibri" w:cs="Calibri"/>
          <w:sz w:val="20"/>
          <w:szCs w:val="20"/>
        </w:rPr>
        <w:t>Engagement à prévenir toute forme de travail précaire ou abusif.</w:t>
      </w:r>
    </w:p>
    <w:p w14:paraId="7C5838E3" w14:textId="77777777" w:rsidR="00634BE2" w:rsidRPr="00634BE2" w:rsidRDefault="00634BE2" w:rsidP="00634BE2">
      <w:pPr>
        <w:spacing w:after="0"/>
        <w:rPr>
          <w:rFonts w:ascii="Calibri" w:hAnsi="Calibri" w:cs="Calibri"/>
          <w:sz w:val="20"/>
          <w:szCs w:val="20"/>
        </w:rPr>
      </w:pPr>
    </w:p>
    <w:p w14:paraId="6A2F2520" w14:textId="77777777" w:rsidR="00634BE2" w:rsidRPr="00634BE2" w:rsidRDefault="00634BE2" w:rsidP="00634BE2">
      <w:pPr>
        <w:shd w:val="clear" w:color="auto" w:fill="FFFFFF"/>
        <w:spacing w:before="100" w:beforeAutospacing="1" w:after="100" w:afterAutospacing="1" w:line="240" w:lineRule="auto"/>
        <w:jc w:val="both"/>
        <w:rPr>
          <w:rFonts w:ascii="Calibri" w:hAnsi="Calibri" w:cs="Calibri"/>
          <w:sz w:val="20"/>
          <w:szCs w:val="20"/>
        </w:rPr>
      </w:pPr>
      <w:r w:rsidRPr="00634BE2">
        <w:rPr>
          <w:rFonts w:ascii="Calibri" w:hAnsi="Calibri" w:cs="Calibri"/>
          <w:sz w:val="20"/>
          <w:szCs w:val="20"/>
        </w:rPr>
        <w:t>Il incombe en outre aux entreprises de plus de 5000 salariés en France ou 10 000 à l’étranger, afin de respecter le devoir de vigilance en matière de durabilité, élaborer un plan de vigilance qui contient notamment les mesures suivantes :</w:t>
      </w:r>
    </w:p>
    <w:p w14:paraId="2DB02959" w14:textId="77777777" w:rsidR="00634BE2" w:rsidRPr="00634BE2" w:rsidRDefault="00634BE2" w:rsidP="00634BE2">
      <w:pPr>
        <w:pStyle w:val="Paragraphedeliste"/>
        <w:numPr>
          <w:ilvl w:val="0"/>
          <w:numId w:val="33"/>
        </w:numPr>
        <w:shd w:val="clear" w:color="auto" w:fill="FFFFFF"/>
        <w:spacing w:before="100" w:beforeAutospacing="1" w:after="100" w:afterAutospacing="1" w:line="240" w:lineRule="auto"/>
        <w:jc w:val="both"/>
        <w:rPr>
          <w:rFonts w:ascii="Calibri" w:hAnsi="Calibri" w:cs="Calibri"/>
          <w:sz w:val="20"/>
          <w:szCs w:val="20"/>
        </w:rPr>
      </w:pPr>
      <w:r w:rsidRPr="00634BE2">
        <w:rPr>
          <w:rFonts w:ascii="Calibri" w:hAnsi="Calibri" w:cs="Calibri"/>
          <w:sz w:val="20"/>
          <w:szCs w:val="20"/>
        </w:rPr>
        <w:t>Une cartographie des risques ; </w:t>
      </w:r>
    </w:p>
    <w:p w14:paraId="5A2F0450" w14:textId="77777777" w:rsidR="00634BE2" w:rsidRPr="00634BE2" w:rsidRDefault="00634BE2" w:rsidP="00634BE2">
      <w:pPr>
        <w:pStyle w:val="Paragraphedeliste"/>
        <w:numPr>
          <w:ilvl w:val="0"/>
          <w:numId w:val="33"/>
        </w:numPr>
        <w:shd w:val="clear" w:color="auto" w:fill="FFFFFF"/>
        <w:spacing w:before="100" w:beforeAutospacing="1" w:after="100" w:afterAutospacing="1" w:line="240" w:lineRule="auto"/>
        <w:jc w:val="both"/>
        <w:rPr>
          <w:rFonts w:ascii="Calibri" w:hAnsi="Calibri" w:cs="Calibri"/>
          <w:sz w:val="20"/>
          <w:szCs w:val="20"/>
        </w:rPr>
      </w:pPr>
      <w:r w:rsidRPr="00634BE2">
        <w:rPr>
          <w:rFonts w:ascii="Calibri" w:hAnsi="Calibri" w:cs="Calibri"/>
          <w:sz w:val="20"/>
          <w:szCs w:val="20"/>
        </w:rPr>
        <w:t>Des procédures d’évaluation régulière de la chaîne de valeur ; </w:t>
      </w:r>
    </w:p>
    <w:p w14:paraId="58C547C1" w14:textId="77777777" w:rsidR="00634BE2" w:rsidRPr="00634BE2" w:rsidRDefault="00634BE2" w:rsidP="00634BE2">
      <w:pPr>
        <w:pStyle w:val="Paragraphedeliste"/>
        <w:numPr>
          <w:ilvl w:val="0"/>
          <w:numId w:val="33"/>
        </w:numPr>
        <w:shd w:val="clear" w:color="auto" w:fill="FFFFFF"/>
        <w:spacing w:before="100" w:beforeAutospacing="1" w:after="100" w:afterAutospacing="1" w:line="240" w:lineRule="auto"/>
        <w:jc w:val="both"/>
        <w:rPr>
          <w:rFonts w:ascii="Calibri" w:hAnsi="Calibri" w:cs="Calibri"/>
          <w:sz w:val="20"/>
          <w:szCs w:val="20"/>
        </w:rPr>
      </w:pPr>
      <w:r w:rsidRPr="00634BE2">
        <w:rPr>
          <w:rFonts w:ascii="Calibri" w:hAnsi="Calibri" w:cs="Calibri"/>
          <w:sz w:val="20"/>
          <w:szCs w:val="20"/>
        </w:rPr>
        <w:t>Des actions adaptées d’atténuation des risques ou de prévention des atteintes graves ; </w:t>
      </w:r>
    </w:p>
    <w:p w14:paraId="235E9706" w14:textId="77777777" w:rsidR="00634BE2" w:rsidRPr="00634BE2" w:rsidRDefault="00634BE2" w:rsidP="00634BE2">
      <w:pPr>
        <w:pStyle w:val="Paragraphedeliste"/>
        <w:numPr>
          <w:ilvl w:val="0"/>
          <w:numId w:val="33"/>
        </w:numPr>
        <w:shd w:val="clear" w:color="auto" w:fill="FFFFFF"/>
        <w:spacing w:before="100" w:beforeAutospacing="1" w:after="100" w:afterAutospacing="1" w:line="240" w:lineRule="auto"/>
        <w:jc w:val="both"/>
        <w:rPr>
          <w:rFonts w:ascii="Calibri" w:hAnsi="Calibri" w:cs="Calibri"/>
          <w:sz w:val="20"/>
          <w:szCs w:val="20"/>
        </w:rPr>
      </w:pPr>
      <w:r w:rsidRPr="00634BE2">
        <w:rPr>
          <w:rFonts w:ascii="Calibri" w:hAnsi="Calibri" w:cs="Calibri"/>
          <w:sz w:val="20"/>
          <w:szCs w:val="20"/>
        </w:rPr>
        <w:t>Un mécanisme d’alerte et de recueil des signalements ; </w:t>
      </w:r>
    </w:p>
    <w:p w14:paraId="7ED487D5" w14:textId="77777777" w:rsidR="00634BE2" w:rsidRPr="00634BE2" w:rsidRDefault="00634BE2" w:rsidP="00634BE2">
      <w:pPr>
        <w:pStyle w:val="Paragraphedeliste"/>
        <w:numPr>
          <w:ilvl w:val="0"/>
          <w:numId w:val="33"/>
        </w:numPr>
        <w:shd w:val="clear" w:color="auto" w:fill="FFFFFF"/>
        <w:spacing w:before="100" w:beforeAutospacing="1" w:after="100" w:afterAutospacing="1" w:line="240" w:lineRule="auto"/>
        <w:jc w:val="both"/>
        <w:rPr>
          <w:rFonts w:ascii="Calibri" w:hAnsi="Calibri" w:cs="Calibri"/>
          <w:sz w:val="20"/>
          <w:szCs w:val="20"/>
        </w:rPr>
      </w:pPr>
      <w:r w:rsidRPr="00634BE2">
        <w:rPr>
          <w:rFonts w:ascii="Calibri" w:hAnsi="Calibri" w:cs="Calibri"/>
          <w:sz w:val="20"/>
          <w:szCs w:val="20"/>
        </w:rPr>
        <w:t>Un dispositif de suivi des mesures mises en œuvre et d’évaluation de leur efficacité.</w:t>
      </w:r>
    </w:p>
    <w:p w14:paraId="73CB4B56" w14:textId="6484EA92" w:rsidR="00BD7ABD" w:rsidRPr="00734E1D" w:rsidRDefault="00BD7ABD" w:rsidP="00734E1D">
      <w:pPr>
        <w:jc w:val="both"/>
        <w:rPr>
          <w:rFonts w:cstheme="minorHAnsi"/>
        </w:rPr>
      </w:pPr>
    </w:p>
    <w:sectPr w:rsidR="00BD7ABD" w:rsidRPr="00734E1D" w:rsidSect="00852E1F">
      <w:footerReference w:type="default" r:id="rId23"/>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A14560" w:rsidRDefault="00A14560" w:rsidP="00376BD4">
      <w:pPr>
        <w:spacing w:after="0" w:line="240" w:lineRule="auto"/>
      </w:pPr>
      <w:r>
        <w:separator/>
      </w:r>
    </w:p>
  </w:endnote>
  <w:endnote w:type="continuationSeparator" w:id="0">
    <w:p w14:paraId="7EBB954A" w14:textId="77777777" w:rsidR="00A14560" w:rsidRDefault="00A14560"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36A3F5F7" w:rsidR="00A14560" w:rsidRPr="00FD2279" w:rsidRDefault="00A14560">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5F2378">
          <w:rPr>
            <w:noProof/>
            <w:sz w:val="16"/>
            <w:szCs w:val="16"/>
          </w:rPr>
          <w:t>3</w:t>
        </w:r>
        <w:r w:rsidRPr="00FD2279">
          <w:rPr>
            <w:sz w:val="16"/>
            <w:szCs w:val="16"/>
          </w:rPr>
          <w:fldChar w:fldCharType="end"/>
        </w:r>
      </w:p>
    </w:sdtContent>
  </w:sdt>
  <w:p w14:paraId="24331198" w14:textId="0B3FDD2D" w:rsidR="00A14560" w:rsidRPr="00FD2279" w:rsidRDefault="00A14560" w:rsidP="00734E1D">
    <w:pPr>
      <w:pStyle w:val="Pieddepage"/>
      <w:jc w:val="center"/>
      <w:rPr>
        <w:i/>
        <w:sz w:val="16"/>
        <w:szCs w:val="16"/>
      </w:rPr>
    </w:pPr>
    <w:r>
      <w:rPr>
        <w:i/>
        <w:sz w:val="16"/>
        <w:szCs w:val="16"/>
      </w:rPr>
      <w:t>Annexe au CCAP - Développement durable</w:t>
    </w:r>
  </w:p>
  <w:p w14:paraId="5636AA77" w14:textId="6391A758" w:rsidR="00A14560" w:rsidRDefault="00A14560" w:rsidP="00734E1D">
    <w:pPr>
      <w:pStyle w:val="Pieddepage"/>
      <w:jc w:val="center"/>
      <w:rPr>
        <w:i/>
        <w:sz w:val="16"/>
        <w:szCs w:val="16"/>
      </w:rPr>
    </w:pPr>
    <w:r>
      <w:rPr>
        <w:i/>
        <w:sz w:val="16"/>
        <w:szCs w:val="16"/>
      </w:rPr>
      <w:t xml:space="preserve">Secteur Juridique </w:t>
    </w:r>
    <w:r w:rsidR="00D02CC1">
      <w:rPr>
        <w:i/>
        <w:sz w:val="16"/>
        <w:szCs w:val="16"/>
      </w:rPr>
      <w:t>09</w:t>
    </w:r>
    <w:r>
      <w:rPr>
        <w:i/>
        <w:sz w:val="16"/>
        <w:szCs w:val="16"/>
      </w:rPr>
      <w:t>/0</w:t>
    </w:r>
    <w:r w:rsidR="000912BF">
      <w:rPr>
        <w:i/>
        <w:sz w:val="16"/>
        <w:szCs w:val="16"/>
      </w:rPr>
      <w:t>9</w:t>
    </w:r>
    <w:r>
      <w:rPr>
        <w:i/>
        <w:sz w:val="16"/>
        <w:szCs w:val="16"/>
      </w:rPr>
      <w:t>/2025</w:t>
    </w:r>
  </w:p>
  <w:p w14:paraId="7DB0B219" w14:textId="0CCA7050" w:rsidR="00A14560" w:rsidRPr="00FD2279" w:rsidRDefault="00A14560" w:rsidP="00734E1D">
    <w:pPr>
      <w:pStyle w:val="Pieddepage"/>
      <w:jc w:val="center"/>
      <w:rPr>
        <w:i/>
        <w:sz w:val="16"/>
        <w:szCs w:val="16"/>
      </w:rPr>
    </w:pPr>
    <w:r w:rsidRPr="00734E1D">
      <w:rPr>
        <w:i/>
        <w:sz w:val="16"/>
        <w:szCs w:val="16"/>
      </w:rPr>
      <w:t xml:space="preserve">AFFAIRE N° </w:t>
    </w:r>
    <w:r w:rsidR="00734E1D" w:rsidRPr="00734E1D">
      <w:rPr>
        <w:i/>
        <w:sz w:val="16"/>
        <w:szCs w:val="16"/>
      </w:rPr>
      <w:t>25A0217</w:t>
    </w:r>
    <w:r w:rsidRPr="00734E1D">
      <w:rPr>
        <w:i/>
        <w:sz w:val="16"/>
        <w:szCs w:val="16"/>
      </w:rPr>
      <w:t xml:space="preserve"> – </w:t>
    </w:r>
    <w:r w:rsidR="00B82710" w:rsidRPr="00B82710">
      <w:rPr>
        <w:i/>
        <w:sz w:val="16"/>
        <w:szCs w:val="16"/>
      </w:rPr>
      <w:t xml:space="preserve">RELANCE LOTS DECLARES SANS SUITE </w:t>
    </w:r>
    <w:r w:rsidR="00734E1D" w:rsidRPr="00734E1D">
      <w:rPr>
        <w:i/>
        <w:sz w:val="16"/>
        <w:szCs w:val="16"/>
      </w:rPr>
      <w:t>- FOURNITURE DE DISPOSITIFS MEDICAUX DE CHIRURGIE THORACIQUE ET CARDIO-VASCULAIRE POUR LE CHU DE MONTPELLIER ETABLISSEMENT SUPPORT DU GHT EST HERAULT SUD AVEYRON</w:t>
    </w:r>
  </w:p>
  <w:p w14:paraId="0A36848E" w14:textId="77777777" w:rsidR="00A14560" w:rsidRPr="00FD2279" w:rsidRDefault="00A14560">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A14560" w:rsidRDefault="00A14560" w:rsidP="00376BD4">
      <w:pPr>
        <w:spacing w:after="0" w:line="240" w:lineRule="auto"/>
      </w:pPr>
      <w:r>
        <w:separator/>
      </w:r>
    </w:p>
  </w:footnote>
  <w:footnote w:type="continuationSeparator" w:id="0">
    <w:p w14:paraId="65E2BEB6" w14:textId="77777777" w:rsidR="00A14560" w:rsidRDefault="00A14560"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70D4B66"/>
    <w:multiLevelType w:val="hybridMultilevel"/>
    <w:tmpl w:val="B8F64A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F4346C8"/>
    <w:multiLevelType w:val="hybridMultilevel"/>
    <w:tmpl w:val="50CCF93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E73997"/>
    <w:multiLevelType w:val="multilevel"/>
    <w:tmpl w:val="408EF3A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4C239CE"/>
    <w:multiLevelType w:val="multilevel"/>
    <w:tmpl w:val="BD609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BA026B0"/>
    <w:multiLevelType w:val="hybridMultilevel"/>
    <w:tmpl w:val="C3D09492"/>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9"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21"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F7C16AE"/>
    <w:multiLevelType w:val="hybridMultilevel"/>
    <w:tmpl w:val="A59CF024"/>
    <w:lvl w:ilvl="0" w:tplc="AEBC0BDC">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98B024F"/>
    <w:multiLevelType w:val="hybridMultilevel"/>
    <w:tmpl w:val="8814F81E"/>
    <w:lvl w:ilvl="0" w:tplc="AEBC0BDC">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6" w15:restartNumberingAfterBreak="0">
    <w:nsid w:val="61135F31"/>
    <w:multiLevelType w:val="hybridMultilevel"/>
    <w:tmpl w:val="4BB002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8" w15:restartNumberingAfterBreak="0">
    <w:nsid w:val="685F50CE"/>
    <w:multiLevelType w:val="hybridMultilevel"/>
    <w:tmpl w:val="57FCD2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1"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32"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269776116">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434539">
    <w:abstractNumId w:val="10"/>
  </w:num>
  <w:num w:numId="3" w16cid:durableId="958148802">
    <w:abstractNumId w:val="13"/>
  </w:num>
  <w:num w:numId="4" w16cid:durableId="102460305">
    <w:abstractNumId w:val="32"/>
  </w:num>
  <w:num w:numId="5" w16cid:durableId="809443349">
    <w:abstractNumId w:val="20"/>
  </w:num>
  <w:num w:numId="6" w16cid:durableId="1939562877">
    <w:abstractNumId w:val="8"/>
  </w:num>
  <w:num w:numId="7" w16cid:durableId="292488668">
    <w:abstractNumId w:val="25"/>
  </w:num>
  <w:num w:numId="8" w16cid:durableId="756944134">
    <w:abstractNumId w:val="19"/>
  </w:num>
  <w:num w:numId="9" w16cid:durableId="1189635996">
    <w:abstractNumId w:val="0"/>
  </w:num>
  <w:num w:numId="10" w16cid:durableId="2087989793">
    <w:abstractNumId w:val="33"/>
  </w:num>
  <w:num w:numId="11" w16cid:durableId="1192299526">
    <w:abstractNumId w:val="7"/>
  </w:num>
  <w:num w:numId="12" w16cid:durableId="1706980854">
    <w:abstractNumId w:val="24"/>
  </w:num>
  <w:num w:numId="13" w16cid:durableId="1027483685">
    <w:abstractNumId w:val="34"/>
  </w:num>
  <w:num w:numId="14" w16cid:durableId="337121006">
    <w:abstractNumId w:val="1"/>
  </w:num>
  <w:num w:numId="15" w16cid:durableId="1546913369">
    <w:abstractNumId w:val="3"/>
  </w:num>
  <w:num w:numId="16" w16cid:durableId="666595164">
    <w:abstractNumId w:val="15"/>
  </w:num>
  <w:num w:numId="17" w16cid:durableId="236867315">
    <w:abstractNumId w:val="21"/>
  </w:num>
  <w:num w:numId="18" w16cid:durableId="77942640">
    <w:abstractNumId w:val="30"/>
  </w:num>
  <w:num w:numId="19" w16cid:durableId="1678193057">
    <w:abstractNumId w:val="29"/>
  </w:num>
  <w:num w:numId="20" w16cid:durableId="422533871">
    <w:abstractNumId w:val="31"/>
  </w:num>
  <w:num w:numId="21" w16cid:durableId="758720640">
    <w:abstractNumId w:val="18"/>
  </w:num>
  <w:num w:numId="22" w16cid:durableId="1158767890">
    <w:abstractNumId w:val="5"/>
  </w:num>
  <w:num w:numId="23" w16cid:durableId="188105335">
    <w:abstractNumId w:val="12"/>
  </w:num>
  <w:num w:numId="24" w16cid:durableId="1292906754">
    <w:abstractNumId w:val="4"/>
  </w:num>
  <w:num w:numId="25" w16cid:durableId="1498836911">
    <w:abstractNumId w:val="17"/>
  </w:num>
  <w:num w:numId="26" w16cid:durableId="1337730187">
    <w:abstractNumId w:val="2"/>
  </w:num>
  <w:num w:numId="27" w16cid:durableId="1878809510">
    <w:abstractNumId w:val="26"/>
  </w:num>
  <w:num w:numId="28" w16cid:durableId="761489616">
    <w:abstractNumId w:val="14"/>
  </w:num>
  <w:num w:numId="29" w16cid:durableId="881092033">
    <w:abstractNumId w:val="28"/>
  </w:num>
  <w:num w:numId="30" w16cid:durableId="1609434155">
    <w:abstractNumId w:val="6"/>
  </w:num>
  <w:num w:numId="31" w16cid:durableId="1509905742">
    <w:abstractNumId w:val="11"/>
  </w:num>
  <w:num w:numId="32" w16cid:durableId="491719131">
    <w:abstractNumId w:val="22"/>
  </w:num>
  <w:num w:numId="33" w16cid:durableId="107240094">
    <w:abstractNumId w:val="9"/>
  </w:num>
  <w:num w:numId="34" w16cid:durableId="202254363">
    <w:abstractNumId w:val="23"/>
  </w:num>
  <w:num w:numId="35" w16cid:durableId="1912737967">
    <w:abstractNumId w:val="1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425"/>
  <w:characterSpacingControl w:val="doNotCompress"/>
  <w:hdrShapeDefaults>
    <o:shapedefaults v:ext="edit" spidmax="1064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66FB"/>
    <w:rsid w:val="0002496C"/>
    <w:rsid w:val="00031E22"/>
    <w:rsid w:val="000476BF"/>
    <w:rsid w:val="00065349"/>
    <w:rsid w:val="00076872"/>
    <w:rsid w:val="00085263"/>
    <w:rsid w:val="00087074"/>
    <w:rsid w:val="000912BF"/>
    <w:rsid w:val="00091621"/>
    <w:rsid w:val="000B51E2"/>
    <w:rsid w:val="000C4F0C"/>
    <w:rsid w:val="000D435D"/>
    <w:rsid w:val="000E49A1"/>
    <w:rsid w:val="000E52B0"/>
    <w:rsid w:val="000E559B"/>
    <w:rsid w:val="000E6319"/>
    <w:rsid w:val="000F1E74"/>
    <w:rsid w:val="00123AE7"/>
    <w:rsid w:val="00131E93"/>
    <w:rsid w:val="00150259"/>
    <w:rsid w:val="001526D1"/>
    <w:rsid w:val="00153969"/>
    <w:rsid w:val="00160D8C"/>
    <w:rsid w:val="001614D3"/>
    <w:rsid w:val="0017530C"/>
    <w:rsid w:val="00186412"/>
    <w:rsid w:val="001A58A7"/>
    <w:rsid w:val="001A70BB"/>
    <w:rsid w:val="001B2871"/>
    <w:rsid w:val="001C19C6"/>
    <w:rsid w:val="001C1A65"/>
    <w:rsid w:val="001C20CD"/>
    <w:rsid w:val="001D115A"/>
    <w:rsid w:val="001D1415"/>
    <w:rsid w:val="001E219A"/>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1B23"/>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4BD6"/>
    <w:rsid w:val="003F74B6"/>
    <w:rsid w:val="004017D2"/>
    <w:rsid w:val="00401FDF"/>
    <w:rsid w:val="00404BDC"/>
    <w:rsid w:val="004066EF"/>
    <w:rsid w:val="00410359"/>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23A48"/>
    <w:rsid w:val="0053190F"/>
    <w:rsid w:val="00556A56"/>
    <w:rsid w:val="0056191E"/>
    <w:rsid w:val="005650E8"/>
    <w:rsid w:val="0056796E"/>
    <w:rsid w:val="00577B50"/>
    <w:rsid w:val="005819C1"/>
    <w:rsid w:val="005823E3"/>
    <w:rsid w:val="0058414B"/>
    <w:rsid w:val="005948A3"/>
    <w:rsid w:val="005A1F33"/>
    <w:rsid w:val="005A7EE9"/>
    <w:rsid w:val="005B3F58"/>
    <w:rsid w:val="005C0CD2"/>
    <w:rsid w:val="005C4626"/>
    <w:rsid w:val="005C5104"/>
    <w:rsid w:val="005C6465"/>
    <w:rsid w:val="005C65E6"/>
    <w:rsid w:val="005E3A04"/>
    <w:rsid w:val="005E5C02"/>
    <w:rsid w:val="005E6022"/>
    <w:rsid w:val="005E652F"/>
    <w:rsid w:val="005E7138"/>
    <w:rsid w:val="005E7EC3"/>
    <w:rsid w:val="005F2378"/>
    <w:rsid w:val="005F2D30"/>
    <w:rsid w:val="006016B3"/>
    <w:rsid w:val="00602630"/>
    <w:rsid w:val="006035EF"/>
    <w:rsid w:val="00624B3B"/>
    <w:rsid w:val="00630099"/>
    <w:rsid w:val="00634BE2"/>
    <w:rsid w:val="00635986"/>
    <w:rsid w:val="00640CBF"/>
    <w:rsid w:val="006421A6"/>
    <w:rsid w:val="006539A9"/>
    <w:rsid w:val="006705E4"/>
    <w:rsid w:val="006719B1"/>
    <w:rsid w:val="00671DEC"/>
    <w:rsid w:val="00675C3B"/>
    <w:rsid w:val="00677FFA"/>
    <w:rsid w:val="00681EBD"/>
    <w:rsid w:val="00691C83"/>
    <w:rsid w:val="00693D8C"/>
    <w:rsid w:val="006A087C"/>
    <w:rsid w:val="006A612B"/>
    <w:rsid w:val="006C744D"/>
    <w:rsid w:val="00701C6A"/>
    <w:rsid w:val="007075CC"/>
    <w:rsid w:val="00714E8A"/>
    <w:rsid w:val="00717242"/>
    <w:rsid w:val="00721A54"/>
    <w:rsid w:val="007246F1"/>
    <w:rsid w:val="00727C04"/>
    <w:rsid w:val="00733473"/>
    <w:rsid w:val="00734E1D"/>
    <w:rsid w:val="00737E16"/>
    <w:rsid w:val="007429D3"/>
    <w:rsid w:val="00743062"/>
    <w:rsid w:val="007559ED"/>
    <w:rsid w:val="0075677B"/>
    <w:rsid w:val="00764068"/>
    <w:rsid w:val="00767478"/>
    <w:rsid w:val="00780531"/>
    <w:rsid w:val="00782336"/>
    <w:rsid w:val="00791471"/>
    <w:rsid w:val="007928D9"/>
    <w:rsid w:val="007A41E3"/>
    <w:rsid w:val="007A6FD5"/>
    <w:rsid w:val="007B3E9A"/>
    <w:rsid w:val="007B3EB1"/>
    <w:rsid w:val="007B6FC0"/>
    <w:rsid w:val="007C75B7"/>
    <w:rsid w:val="007E16B7"/>
    <w:rsid w:val="007E24CF"/>
    <w:rsid w:val="007F552E"/>
    <w:rsid w:val="007F5AF6"/>
    <w:rsid w:val="00806763"/>
    <w:rsid w:val="008100D5"/>
    <w:rsid w:val="00812E69"/>
    <w:rsid w:val="00816AE3"/>
    <w:rsid w:val="00824ACF"/>
    <w:rsid w:val="00826AD4"/>
    <w:rsid w:val="008273E6"/>
    <w:rsid w:val="008326FA"/>
    <w:rsid w:val="0083312B"/>
    <w:rsid w:val="0083686D"/>
    <w:rsid w:val="0084319F"/>
    <w:rsid w:val="0084685F"/>
    <w:rsid w:val="00847EDF"/>
    <w:rsid w:val="00850EF8"/>
    <w:rsid w:val="00852E1F"/>
    <w:rsid w:val="008569E7"/>
    <w:rsid w:val="008603F9"/>
    <w:rsid w:val="0086470D"/>
    <w:rsid w:val="00865D53"/>
    <w:rsid w:val="00876C24"/>
    <w:rsid w:val="00880769"/>
    <w:rsid w:val="0088119C"/>
    <w:rsid w:val="008839D0"/>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A4E7E"/>
    <w:rsid w:val="009B24EB"/>
    <w:rsid w:val="009B7223"/>
    <w:rsid w:val="009B7D2A"/>
    <w:rsid w:val="009C54FB"/>
    <w:rsid w:val="009C5E61"/>
    <w:rsid w:val="009D46F4"/>
    <w:rsid w:val="009D6C9F"/>
    <w:rsid w:val="009D7BAF"/>
    <w:rsid w:val="009E24EA"/>
    <w:rsid w:val="009E5421"/>
    <w:rsid w:val="009E71A5"/>
    <w:rsid w:val="00A059C6"/>
    <w:rsid w:val="00A12130"/>
    <w:rsid w:val="00A13B5A"/>
    <w:rsid w:val="00A14560"/>
    <w:rsid w:val="00A1496C"/>
    <w:rsid w:val="00A2139E"/>
    <w:rsid w:val="00A24CB3"/>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B437D"/>
    <w:rsid w:val="00AC27BA"/>
    <w:rsid w:val="00AD75A5"/>
    <w:rsid w:val="00AE15E8"/>
    <w:rsid w:val="00AE38E4"/>
    <w:rsid w:val="00AE4C91"/>
    <w:rsid w:val="00AF54FB"/>
    <w:rsid w:val="00AF612A"/>
    <w:rsid w:val="00AF63A8"/>
    <w:rsid w:val="00AF7636"/>
    <w:rsid w:val="00B10F15"/>
    <w:rsid w:val="00B15FD1"/>
    <w:rsid w:val="00B21E75"/>
    <w:rsid w:val="00B23B8C"/>
    <w:rsid w:val="00B30695"/>
    <w:rsid w:val="00B316C4"/>
    <w:rsid w:val="00B4201F"/>
    <w:rsid w:val="00B509A7"/>
    <w:rsid w:val="00B555DA"/>
    <w:rsid w:val="00B57C5C"/>
    <w:rsid w:val="00B70F53"/>
    <w:rsid w:val="00B81482"/>
    <w:rsid w:val="00B82122"/>
    <w:rsid w:val="00B82710"/>
    <w:rsid w:val="00B83B60"/>
    <w:rsid w:val="00B94A42"/>
    <w:rsid w:val="00BA3745"/>
    <w:rsid w:val="00BA56FA"/>
    <w:rsid w:val="00BB3FEE"/>
    <w:rsid w:val="00BB4B2D"/>
    <w:rsid w:val="00BC35ED"/>
    <w:rsid w:val="00BD46D0"/>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4F07"/>
    <w:rsid w:val="00C769D6"/>
    <w:rsid w:val="00C80448"/>
    <w:rsid w:val="00C86A5C"/>
    <w:rsid w:val="00C86F40"/>
    <w:rsid w:val="00C93F6C"/>
    <w:rsid w:val="00C974A1"/>
    <w:rsid w:val="00CB6CE3"/>
    <w:rsid w:val="00CB7B4B"/>
    <w:rsid w:val="00CC4EC2"/>
    <w:rsid w:val="00CE5D6D"/>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47384"/>
    <w:rsid w:val="00D50341"/>
    <w:rsid w:val="00D54A25"/>
    <w:rsid w:val="00D56CE9"/>
    <w:rsid w:val="00D575C8"/>
    <w:rsid w:val="00D60483"/>
    <w:rsid w:val="00D63098"/>
    <w:rsid w:val="00D74D77"/>
    <w:rsid w:val="00D939F2"/>
    <w:rsid w:val="00D944E3"/>
    <w:rsid w:val="00D94E99"/>
    <w:rsid w:val="00DA74EF"/>
    <w:rsid w:val="00DA7783"/>
    <w:rsid w:val="00DB20AB"/>
    <w:rsid w:val="00DB30C7"/>
    <w:rsid w:val="00DC1780"/>
    <w:rsid w:val="00DC179D"/>
    <w:rsid w:val="00DC1946"/>
    <w:rsid w:val="00DD0118"/>
    <w:rsid w:val="00DD7303"/>
    <w:rsid w:val="00DE56CB"/>
    <w:rsid w:val="00DE658B"/>
    <w:rsid w:val="00DF65BA"/>
    <w:rsid w:val="00E0517B"/>
    <w:rsid w:val="00E103D4"/>
    <w:rsid w:val="00E10A21"/>
    <w:rsid w:val="00E161B9"/>
    <w:rsid w:val="00E22551"/>
    <w:rsid w:val="00E265CD"/>
    <w:rsid w:val="00E310B4"/>
    <w:rsid w:val="00E31CA7"/>
    <w:rsid w:val="00E40EA7"/>
    <w:rsid w:val="00E41751"/>
    <w:rsid w:val="00E47BED"/>
    <w:rsid w:val="00E51B5E"/>
    <w:rsid w:val="00E54FC1"/>
    <w:rsid w:val="00E5519A"/>
    <w:rsid w:val="00E56762"/>
    <w:rsid w:val="00E7196C"/>
    <w:rsid w:val="00E76F72"/>
    <w:rsid w:val="00E800DD"/>
    <w:rsid w:val="00E804DA"/>
    <w:rsid w:val="00E84698"/>
    <w:rsid w:val="00E86D41"/>
    <w:rsid w:val="00E91D9A"/>
    <w:rsid w:val="00E94279"/>
    <w:rsid w:val="00E94490"/>
    <w:rsid w:val="00E953FF"/>
    <w:rsid w:val="00EA493A"/>
    <w:rsid w:val="00EC0E32"/>
    <w:rsid w:val="00EE0FBC"/>
    <w:rsid w:val="00EE2729"/>
    <w:rsid w:val="00EE3580"/>
    <w:rsid w:val="00EE480B"/>
    <w:rsid w:val="00F0043B"/>
    <w:rsid w:val="00F014CF"/>
    <w:rsid w:val="00F018FF"/>
    <w:rsid w:val="00F3568B"/>
    <w:rsid w:val="00F50DAA"/>
    <w:rsid w:val="00F513C6"/>
    <w:rsid w:val="00F6295A"/>
    <w:rsid w:val="00F679EE"/>
    <w:rsid w:val="00F7340E"/>
    <w:rsid w:val="00F813D9"/>
    <w:rsid w:val="00F84022"/>
    <w:rsid w:val="00F86C36"/>
    <w:rsid w:val="00FA20F3"/>
    <w:rsid w:val="00FA3EC5"/>
    <w:rsid w:val="00FB08FE"/>
    <w:rsid w:val="00FB140D"/>
    <w:rsid w:val="00FC69BC"/>
    <w:rsid w:val="00FD2279"/>
    <w:rsid w:val="00FD462D"/>
    <w:rsid w:val="00FD608C"/>
    <w:rsid w:val="00FF175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6497"/>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791976208">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mp"/><Relationship Id="rId18" Type="http://schemas.openxmlformats.org/officeDocument/2006/relationships/hyperlink" Target="https://www.legifrance.gouv.fr/codes/article_lc/LEGIARTI000031052684/" TargetMode="External"/><Relationship Id="rId3" Type="http://schemas.openxmlformats.org/officeDocument/2006/relationships/customXml" Target="../customXml/item3.xml"/><Relationship Id="rId21" Type="http://schemas.openxmlformats.org/officeDocument/2006/relationships/hyperlink" Target="https://www.legifrance.gouv.fr/loda/id/JORFTEXT000018877783/2025-11-26" TargetMode="External"/><Relationship Id="rId7" Type="http://schemas.openxmlformats.org/officeDocument/2006/relationships/settings" Target="settings.xml"/><Relationship Id="rId12" Type="http://schemas.openxmlformats.org/officeDocument/2006/relationships/image" Target="media/image2.tmp"/><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dssmith.com/fr/media/actualites/2021/5/solutions-calage-carton-emballages"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7.tmp"/><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2.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BBA95C-98F4-4846-A906-02C7CDEF9166}">
  <ds:schemaRefs>
    <ds:schemaRef ds:uri="http://schemas.openxmlformats.org/officeDocument/2006/bibliography"/>
  </ds:schemaRefs>
</ds:datastoreItem>
</file>

<file path=customXml/itemProps4.xml><?xml version="1.0" encoding="utf-8"?>
<ds:datastoreItem xmlns:ds="http://schemas.openxmlformats.org/officeDocument/2006/customXml" ds:itemID="{4C42C59A-2987-4AE1-8F8B-70AAC0D50ED8}">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12</Pages>
  <Words>3537</Words>
  <Characters>19456</Characters>
  <Application>Microsoft Office Word</Application>
  <DocSecurity>0</DocSecurity>
  <Lines>162</Lines>
  <Paragraphs>45</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22948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BUCHET CHARLOTTE</cp:lastModifiedBy>
  <cp:revision>21</cp:revision>
  <cp:lastPrinted>2018-03-22T11:20:00Z</cp:lastPrinted>
  <dcterms:created xsi:type="dcterms:W3CDTF">2025-08-07T13:57:00Z</dcterms:created>
  <dcterms:modified xsi:type="dcterms:W3CDTF">2026-02-25T07:29:00Z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